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济南成型厂2026年度进口应达加热炉膛年度外委维修项目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ZBGL2026060341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bookmarkStart w:id="23" w:name="_GoBack"/>
      <w:bookmarkEnd w:id="23"/>
      <w:r>
        <w:rPr>
          <w:rFonts w:hint="eastAsia" w:ascii="宋体" w:hAnsi="宋体"/>
          <w:sz w:val="28"/>
          <w:szCs w:val="28"/>
          <w:highlight w:val="none"/>
          <w:u w:val="single"/>
          <w:lang w:val="en-US" w:eastAsia="zh-CN"/>
        </w:rPr>
        <w:t>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31406235"/>
      <w:bookmarkStart w:id="4" w:name="_Toc16518"/>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2290"/>
      <w:bookmarkEnd w:id="5"/>
      <w:bookmarkStart w:id="6" w:name="_Toc144974482"/>
      <w:bookmarkEnd w:id="6"/>
      <w:bookmarkStart w:id="7" w:name="_Toc179632530"/>
      <w:bookmarkEnd w:id="7"/>
      <w:bookmarkStart w:id="8" w:name="_Toc152045514"/>
      <w:bookmarkEnd w:id="8"/>
      <w:bookmarkStart w:id="9" w:name="_Toc285809451"/>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ZBGL2026060341</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本次招标为中国重汽济南成型厂2026年度进口应达加热炉膛年度外委维修项目，具体内容如下：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经营具有设计生产维修用于电子、感应、电弧、电阻、燃料、精炼、真空熔炼和热处理的加热及熔炼设备；电感应炉维修、机电安装，电力工程，变压器、开关柜产品维修、销售、安装及技术咨询等相关资质。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报名截止时间：2026年8月20日17:00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2026年8月26日9:00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2026年8月26日13:30（若有变动，另行通知）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技术联系人：卓  伟 13853190135、赵成利 18764052003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2026年8月25日17:00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2026年8月24日17：00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5"/>
      <w:bookmarkStart w:id="12" w:name="OLE_LINK28"/>
      <w:bookmarkStart w:id="13" w:name="OLE_LINK29"/>
      <w:bookmarkStart w:id="14" w:name="OLE_LINK26"/>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济南成型厂2026年度进口应达加热炉膛年度外委维修项目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集团济南成型厂2026年度进口应达加热炉膛年度外委维修项目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4F80A90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投标报价包括：全部人工、辅材、运输费、吊装费、设计、制造加工、验收、技术及售后服务费等所有费用的总和。所有投标均以人民币报价。</w:t>
      </w:r>
    </w:p>
    <w:p w14:paraId="76D0C86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投标方负责承揽招标方成型厂2026年度进口应达加热炉膛年度外委维修的相关工作，相关技术要求如下：</w:t>
      </w:r>
    </w:p>
    <w:p w14:paraId="0669CDAF">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1、相关维修内容如下：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5245"/>
      </w:tblGrid>
      <w:tr w14:paraId="3E28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42" w:type="dxa"/>
            <w:noWrap w:val="0"/>
            <w:vAlign w:val="top"/>
          </w:tcPr>
          <w:p w14:paraId="59487CDC">
            <w:pPr>
              <w:jc w:val="center"/>
              <w:rPr>
                <w:rFonts w:hint="eastAsia" w:ascii="宋体" w:hAnsi="宋体"/>
              </w:rPr>
            </w:pPr>
            <w:r>
              <w:rPr>
                <w:rFonts w:hint="eastAsia" w:ascii="宋体" w:hAnsi="宋体"/>
              </w:rPr>
              <w:t>序号</w:t>
            </w:r>
          </w:p>
        </w:tc>
        <w:tc>
          <w:tcPr>
            <w:tcW w:w="1843" w:type="dxa"/>
            <w:noWrap w:val="0"/>
            <w:vAlign w:val="top"/>
          </w:tcPr>
          <w:p w14:paraId="197BD2DD">
            <w:pPr>
              <w:jc w:val="center"/>
              <w:rPr>
                <w:rFonts w:hint="eastAsia" w:ascii="宋体" w:hAnsi="宋体"/>
              </w:rPr>
            </w:pPr>
            <w:r>
              <w:rPr>
                <w:rFonts w:hint="eastAsia" w:ascii="宋体" w:hAnsi="宋体"/>
              </w:rPr>
              <w:t>分类</w:t>
            </w:r>
          </w:p>
        </w:tc>
        <w:tc>
          <w:tcPr>
            <w:tcW w:w="5245" w:type="dxa"/>
            <w:noWrap w:val="0"/>
            <w:vAlign w:val="top"/>
          </w:tcPr>
          <w:p w14:paraId="27ED0831">
            <w:pPr>
              <w:jc w:val="center"/>
              <w:rPr>
                <w:rFonts w:hint="eastAsia" w:ascii="宋体" w:hAnsi="宋体"/>
              </w:rPr>
            </w:pPr>
            <w:r>
              <w:rPr>
                <w:rFonts w:hint="eastAsia" w:ascii="宋体" w:hAnsi="宋体"/>
              </w:rPr>
              <w:t>名称</w:t>
            </w:r>
          </w:p>
        </w:tc>
      </w:tr>
      <w:tr w14:paraId="355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634303DF">
            <w:pPr>
              <w:jc w:val="center"/>
              <w:rPr>
                <w:rFonts w:hint="eastAsia" w:ascii="宋体" w:hAnsi="宋体"/>
              </w:rPr>
            </w:pPr>
            <w:r>
              <w:rPr>
                <w:rFonts w:hint="eastAsia" w:ascii="宋体" w:hAnsi="宋体"/>
              </w:rPr>
              <w:t>1</w:t>
            </w:r>
          </w:p>
        </w:tc>
        <w:tc>
          <w:tcPr>
            <w:tcW w:w="1843" w:type="dxa"/>
            <w:vMerge w:val="restart"/>
            <w:noWrap w:val="0"/>
            <w:vAlign w:val="center"/>
          </w:tcPr>
          <w:p w14:paraId="536C3D3D">
            <w:pPr>
              <w:jc w:val="center"/>
              <w:rPr>
                <w:rFonts w:hint="eastAsia" w:ascii="宋体" w:hAnsi="宋体"/>
              </w:rPr>
            </w:pPr>
            <w:r>
              <w:rPr>
                <w:rFonts w:hint="eastAsia" w:ascii="宋体" w:hAnsi="宋体"/>
              </w:rPr>
              <w:t>标准维修</w:t>
            </w:r>
          </w:p>
        </w:tc>
        <w:tc>
          <w:tcPr>
            <w:tcW w:w="5245" w:type="dxa"/>
            <w:noWrap w:val="0"/>
            <w:vAlign w:val="top"/>
          </w:tcPr>
          <w:p w14:paraId="0F9224BD">
            <w:pPr>
              <w:jc w:val="center"/>
              <w:rPr>
                <w:rFonts w:hint="eastAsia" w:ascii="宋体" w:hAnsi="宋体"/>
              </w:rPr>
            </w:pPr>
            <w:r>
              <w:rPr>
                <w:rFonts w:hint="eastAsia" w:ascii="宋体" w:hAnsi="宋体"/>
              </w:rPr>
              <w:t>维修线圈型号与各零件确认</w:t>
            </w:r>
          </w:p>
        </w:tc>
      </w:tr>
      <w:tr w14:paraId="20A4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A1484F9">
            <w:pPr>
              <w:jc w:val="center"/>
              <w:rPr>
                <w:rFonts w:hint="eastAsia" w:ascii="宋体" w:hAnsi="宋体"/>
              </w:rPr>
            </w:pPr>
          </w:p>
        </w:tc>
        <w:tc>
          <w:tcPr>
            <w:tcW w:w="1843" w:type="dxa"/>
            <w:vMerge w:val="continue"/>
            <w:noWrap w:val="0"/>
            <w:vAlign w:val="top"/>
          </w:tcPr>
          <w:p w14:paraId="213800AD">
            <w:pPr>
              <w:jc w:val="center"/>
              <w:rPr>
                <w:rFonts w:hint="eastAsia" w:ascii="宋体" w:hAnsi="宋体"/>
              </w:rPr>
            </w:pPr>
          </w:p>
        </w:tc>
        <w:tc>
          <w:tcPr>
            <w:tcW w:w="5245" w:type="dxa"/>
            <w:noWrap w:val="0"/>
            <w:vAlign w:val="top"/>
          </w:tcPr>
          <w:p w14:paraId="3172A3F7">
            <w:pPr>
              <w:jc w:val="center"/>
              <w:rPr>
                <w:rFonts w:hint="eastAsia" w:ascii="宋体" w:hAnsi="宋体"/>
              </w:rPr>
            </w:pPr>
            <w:r>
              <w:rPr>
                <w:rFonts w:hint="eastAsia" w:ascii="宋体" w:hAnsi="宋体"/>
              </w:rPr>
              <w:t>线圈绕组水压与流量检测</w:t>
            </w:r>
          </w:p>
        </w:tc>
      </w:tr>
      <w:tr w14:paraId="065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BBA1323">
            <w:pPr>
              <w:jc w:val="center"/>
              <w:rPr>
                <w:rFonts w:hint="eastAsia" w:ascii="宋体" w:hAnsi="宋体"/>
              </w:rPr>
            </w:pPr>
          </w:p>
        </w:tc>
        <w:tc>
          <w:tcPr>
            <w:tcW w:w="1843" w:type="dxa"/>
            <w:vMerge w:val="continue"/>
            <w:noWrap w:val="0"/>
            <w:vAlign w:val="top"/>
          </w:tcPr>
          <w:p w14:paraId="7D5F6F4A">
            <w:pPr>
              <w:jc w:val="center"/>
              <w:rPr>
                <w:rFonts w:hint="eastAsia" w:ascii="宋体" w:hAnsi="宋体"/>
              </w:rPr>
            </w:pPr>
          </w:p>
        </w:tc>
        <w:tc>
          <w:tcPr>
            <w:tcW w:w="5245" w:type="dxa"/>
            <w:noWrap w:val="0"/>
            <w:vAlign w:val="top"/>
          </w:tcPr>
          <w:p w14:paraId="301D4D86">
            <w:pPr>
              <w:jc w:val="center"/>
              <w:rPr>
                <w:rFonts w:hint="eastAsia" w:ascii="宋体" w:hAnsi="宋体"/>
              </w:rPr>
            </w:pPr>
            <w:r>
              <w:rPr>
                <w:rFonts w:hint="eastAsia" w:ascii="宋体" w:hAnsi="宋体"/>
              </w:rPr>
              <w:t>拆卸线圈各部件、敲耐火泥及清理</w:t>
            </w:r>
          </w:p>
        </w:tc>
      </w:tr>
      <w:tr w14:paraId="6DAF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C1A4B68">
            <w:pPr>
              <w:jc w:val="center"/>
              <w:rPr>
                <w:rFonts w:hint="eastAsia" w:ascii="宋体" w:hAnsi="宋体"/>
              </w:rPr>
            </w:pPr>
          </w:p>
        </w:tc>
        <w:tc>
          <w:tcPr>
            <w:tcW w:w="1843" w:type="dxa"/>
            <w:vMerge w:val="continue"/>
            <w:noWrap w:val="0"/>
            <w:vAlign w:val="top"/>
          </w:tcPr>
          <w:p w14:paraId="4E4DAD11">
            <w:pPr>
              <w:jc w:val="center"/>
              <w:rPr>
                <w:rFonts w:hint="eastAsia" w:ascii="宋体" w:hAnsi="宋体"/>
              </w:rPr>
            </w:pPr>
          </w:p>
        </w:tc>
        <w:tc>
          <w:tcPr>
            <w:tcW w:w="5245" w:type="dxa"/>
            <w:noWrap w:val="0"/>
            <w:vAlign w:val="top"/>
          </w:tcPr>
          <w:p w14:paraId="5E860F72">
            <w:pPr>
              <w:jc w:val="center"/>
              <w:rPr>
                <w:rFonts w:hint="eastAsia" w:ascii="宋体" w:hAnsi="宋体"/>
              </w:rPr>
            </w:pPr>
            <w:r>
              <w:rPr>
                <w:rFonts w:hint="eastAsia" w:ascii="宋体" w:hAnsi="宋体"/>
              </w:rPr>
              <w:t>清除线圈绕组原有绝缘层</w:t>
            </w:r>
          </w:p>
        </w:tc>
      </w:tr>
      <w:tr w14:paraId="245E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8C9F6AC">
            <w:pPr>
              <w:jc w:val="center"/>
              <w:rPr>
                <w:rFonts w:hint="eastAsia" w:ascii="宋体" w:hAnsi="宋体"/>
              </w:rPr>
            </w:pPr>
          </w:p>
        </w:tc>
        <w:tc>
          <w:tcPr>
            <w:tcW w:w="1843" w:type="dxa"/>
            <w:vMerge w:val="continue"/>
            <w:noWrap w:val="0"/>
            <w:vAlign w:val="top"/>
          </w:tcPr>
          <w:p w14:paraId="1D6EA5F5">
            <w:pPr>
              <w:jc w:val="center"/>
              <w:rPr>
                <w:rFonts w:hint="eastAsia" w:ascii="宋体" w:hAnsi="宋体"/>
              </w:rPr>
            </w:pPr>
          </w:p>
        </w:tc>
        <w:tc>
          <w:tcPr>
            <w:tcW w:w="5245" w:type="dxa"/>
            <w:noWrap w:val="0"/>
            <w:vAlign w:val="top"/>
          </w:tcPr>
          <w:p w14:paraId="3AB80818">
            <w:pPr>
              <w:jc w:val="center"/>
              <w:rPr>
                <w:rFonts w:hint="eastAsia" w:ascii="宋体" w:hAnsi="宋体"/>
              </w:rPr>
            </w:pPr>
            <w:r>
              <w:rPr>
                <w:rFonts w:hint="eastAsia" w:ascii="宋体" w:hAnsi="宋体"/>
              </w:rPr>
              <w:t>绕组分支管与节距螺丝银焊条补焊</w:t>
            </w:r>
          </w:p>
        </w:tc>
      </w:tr>
      <w:tr w14:paraId="2674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571AF1">
            <w:pPr>
              <w:jc w:val="center"/>
              <w:rPr>
                <w:rFonts w:hint="eastAsia" w:ascii="宋体" w:hAnsi="宋体"/>
              </w:rPr>
            </w:pPr>
          </w:p>
        </w:tc>
        <w:tc>
          <w:tcPr>
            <w:tcW w:w="1843" w:type="dxa"/>
            <w:vMerge w:val="continue"/>
            <w:noWrap w:val="0"/>
            <w:vAlign w:val="top"/>
          </w:tcPr>
          <w:p w14:paraId="59003F94">
            <w:pPr>
              <w:jc w:val="center"/>
              <w:rPr>
                <w:rFonts w:hint="eastAsia" w:ascii="宋体" w:hAnsi="宋体"/>
              </w:rPr>
            </w:pPr>
          </w:p>
        </w:tc>
        <w:tc>
          <w:tcPr>
            <w:tcW w:w="5245" w:type="dxa"/>
            <w:noWrap w:val="0"/>
            <w:vAlign w:val="top"/>
          </w:tcPr>
          <w:p w14:paraId="1382E4A4">
            <w:pPr>
              <w:jc w:val="center"/>
              <w:rPr>
                <w:rFonts w:hint="eastAsia" w:ascii="宋体" w:hAnsi="宋体"/>
              </w:rPr>
            </w:pPr>
            <w:r>
              <w:rPr>
                <w:rFonts w:hint="eastAsia" w:ascii="宋体" w:hAnsi="宋体"/>
              </w:rPr>
              <w:t>线圈绕组水压检测-补漏</w:t>
            </w:r>
          </w:p>
        </w:tc>
      </w:tr>
      <w:tr w14:paraId="1893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0BC3A77">
            <w:pPr>
              <w:jc w:val="center"/>
              <w:rPr>
                <w:rFonts w:hint="eastAsia" w:ascii="宋体" w:hAnsi="宋体"/>
              </w:rPr>
            </w:pPr>
          </w:p>
        </w:tc>
        <w:tc>
          <w:tcPr>
            <w:tcW w:w="1843" w:type="dxa"/>
            <w:vMerge w:val="continue"/>
            <w:noWrap w:val="0"/>
            <w:vAlign w:val="top"/>
          </w:tcPr>
          <w:p w14:paraId="0BC5C660">
            <w:pPr>
              <w:jc w:val="center"/>
              <w:rPr>
                <w:rFonts w:hint="eastAsia" w:ascii="宋体" w:hAnsi="宋体"/>
              </w:rPr>
            </w:pPr>
          </w:p>
        </w:tc>
        <w:tc>
          <w:tcPr>
            <w:tcW w:w="5245" w:type="dxa"/>
            <w:noWrap w:val="0"/>
            <w:vAlign w:val="top"/>
          </w:tcPr>
          <w:p w14:paraId="52DFB706">
            <w:pPr>
              <w:jc w:val="center"/>
              <w:rPr>
                <w:rFonts w:hint="eastAsia" w:ascii="宋体" w:hAnsi="宋体"/>
              </w:rPr>
            </w:pPr>
            <w:r>
              <w:rPr>
                <w:rFonts w:hint="eastAsia" w:ascii="宋体" w:hAnsi="宋体"/>
              </w:rPr>
              <w:t>线圈表面处理-喷砂</w:t>
            </w:r>
          </w:p>
        </w:tc>
      </w:tr>
      <w:tr w14:paraId="1B3C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0A999E7">
            <w:pPr>
              <w:jc w:val="center"/>
              <w:rPr>
                <w:rFonts w:hint="eastAsia" w:ascii="宋体" w:hAnsi="宋体"/>
              </w:rPr>
            </w:pPr>
          </w:p>
        </w:tc>
        <w:tc>
          <w:tcPr>
            <w:tcW w:w="1843" w:type="dxa"/>
            <w:vMerge w:val="continue"/>
            <w:noWrap w:val="0"/>
            <w:vAlign w:val="top"/>
          </w:tcPr>
          <w:p w14:paraId="399F9B3E">
            <w:pPr>
              <w:jc w:val="center"/>
              <w:rPr>
                <w:rFonts w:hint="eastAsia" w:ascii="宋体" w:hAnsi="宋体"/>
              </w:rPr>
            </w:pPr>
          </w:p>
        </w:tc>
        <w:tc>
          <w:tcPr>
            <w:tcW w:w="5245" w:type="dxa"/>
            <w:noWrap w:val="0"/>
            <w:vAlign w:val="top"/>
          </w:tcPr>
          <w:p w14:paraId="1DFC3210">
            <w:pPr>
              <w:jc w:val="center"/>
              <w:rPr>
                <w:rFonts w:hint="eastAsia" w:ascii="宋体" w:hAnsi="宋体"/>
              </w:rPr>
            </w:pPr>
            <w:r>
              <w:rPr>
                <w:rFonts w:hint="eastAsia" w:ascii="宋体" w:hAnsi="宋体"/>
              </w:rPr>
              <w:t>线圈绝缘处理-喷粉（4遍）</w:t>
            </w:r>
          </w:p>
        </w:tc>
      </w:tr>
      <w:tr w14:paraId="1CD8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F9B0E95">
            <w:pPr>
              <w:jc w:val="center"/>
              <w:rPr>
                <w:rFonts w:hint="eastAsia" w:ascii="宋体" w:hAnsi="宋体"/>
              </w:rPr>
            </w:pPr>
          </w:p>
        </w:tc>
        <w:tc>
          <w:tcPr>
            <w:tcW w:w="1843" w:type="dxa"/>
            <w:vMerge w:val="continue"/>
            <w:noWrap w:val="0"/>
            <w:vAlign w:val="top"/>
          </w:tcPr>
          <w:p w14:paraId="377CBB20">
            <w:pPr>
              <w:jc w:val="center"/>
              <w:rPr>
                <w:rFonts w:hint="eastAsia" w:ascii="宋体" w:hAnsi="宋体"/>
              </w:rPr>
            </w:pPr>
          </w:p>
        </w:tc>
        <w:tc>
          <w:tcPr>
            <w:tcW w:w="5245" w:type="dxa"/>
            <w:noWrap w:val="0"/>
            <w:vAlign w:val="top"/>
          </w:tcPr>
          <w:p w14:paraId="3900A842">
            <w:pPr>
              <w:jc w:val="center"/>
              <w:rPr>
                <w:rFonts w:hint="eastAsia" w:ascii="宋体" w:hAnsi="宋体"/>
              </w:rPr>
            </w:pPr>
            <w:r>
              <w:rPr>
                <w:rFonts w:hint="eastAsia" w:ascii="宋体" w:hAnsi="宋体"/>
              </w:rPr>
              <w:t>线圈绕组绝缘层厚度与耐压值测试</w:t>
            </w:r>
          </w:p>
        </w:tc>
      </w:tr>
      <w:tr w14:paraId="3321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E987719">
            <w:pPr>
              <w:jc w:val="center"/>
              <w:rPr>
                <w:rFonts w:hint="eastAsia" w:ascii="宋体" w:hAnsi="宋体"/>
              </w:rPr>
            </w:pPr>
          </w:p>
        </w:tc>
        <w:tc>
          <w:tcPr>
            <w:tcW w:w="1843" w:type="dxa"/>
            <w:vMerge w:val="continue"/>
            <w:noWrap w:val="0"/>
            <w:vAlign w:val="top"/>
          </w:tcPr>
          <w:p w14:paraId="5F76CE42">
            <w:pPr>
              <w:jc w:val="center"/>
              <w:rPr>
                <w:rFonts w:hint="eastAsia" w:ascii="宋体" w:hAnsi="宋体"/>
              </w:rPr>
            </w:pPr>
          </w:p>
        </w:tc>
        <w:tc>
          <w:tcPr>
            <w:tcW w:w="5245" w:type="dxa"/>
            <w:noWrap w:val="0"/>
            <w:vAlign w:val="top"/>
          </w:tcPr>
          <w:p w14:paraId="28A7156B">
            <w:pPr>
              <w:jc w:val="center"/>
              <w:rPr>
                <w:rFonts w:hint="eastAsia" w:ascii="宋体" w:hAnsi="宋体"/>
              </w:rPr>
            </w:pPr>
            <w:r>
              <w:rPr>
                <w:rFonts w:hint="eastAsia" w:ascii="宋体" w:hAnsi="宋体"/>
              </w:rPr>
              <w:t>线圈绕组匝间隙与直线度矫正</w:t>
            </w:r>
          </w:p>
        </w:tc>
      </w:tr>
      <w:tr w14:paraId="6891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35A74F3">
            <w:pPr>
              <w:jc w:val="center"/>
              <w:rPr>
                <w:rFonts w:hint="eastAsia" w:ascii="宋体" w:hAnsi="宋体"/>
              </w:rPr>
            </w:pPr>
          </w:p>
        </w:tc>
        <w:tc>
          <w:tcPr>
            <w:tcW w:w="1843" w:type="dxa"/>
            <w:vMerge w:val="continue"/>
            <w:noWrap w:val="0"/>
            <w:vAlign w:val="top"/>
          </w:tcPr>
          <w:p w14:paraId="39C2417E">
            <w:pPr>
              <w:jc w:val="center"/>
              <w:rPr>
                <w:rFonts w:hint="eastAsia" w:ascii="宋体" w:hAnsi="宋体"/>
              </w:rPr>
            </w:pPr>
          </w:p>
        </w:tc>
        <w:tc>
          <w:tcPr>
            <w:tcW w:w="5245" w:type="dxa"/>
            <w:noWrap w:val="0"/>
            <w:vAlign w:val="top"/>
          </w:tcPr>
          <w:p w14:paraId="03986D6F">
            <w:pPr>
              <w:jc w:val="center"/>
              <w:rPr>
                <w:rFonts w:hint="eastAsia" w:ascii="宋体" w:hAnsi="宋体"/>
              </w:rPr>
            </w:pPr>
            <w:r>
              <w:rPr>
                <w:rFonts w:hint="eastAsia" w:ascii="宋体" w:hAnsi="宋体"/>
              </w:rPr>
              <w:t>线圈浇注耐火泥前工装夹具装配</w:t>
            </w:r>
          </w:p>
        </w:tc>
      </w:tr>
      <w:tr w14:paraId="368D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333FEED">
            <w:pPr>
              <w:jc w:val="center"/>
              <w:rPr>
                <w:rFonts w:hint="eastAsia" w:ascii="宋体" w:hAnsi="宋体"/>
              </w:rPr>
            </w:pPr>
          </w:p>
        </w:tc>
        <w:tc>
          <w:tcPr>
            <w:tcW w:w="1843" w:type="dxa"/>
            <w:vMerge w:val="continue"/>
            <w:noWrap w:val="0"/>
            <w:vAlign w:val="top"/>
          </w:tcPr>
          <w:p w14:paraId="2D798AB0">
            <w:pPr>
              <w:jc w:val="center"/>
              <w:rPr>
                <w:rFonts w:hint="eastAsia" w:ascii="宋体" w:hAnsi="宋体"/>
              </w:rPr>
            </w:pPr>
          </w:p>
        </w:tc>
        <w:tc>
          <w:tcPr>
            <w:tcW w:w="5245" w:type="dxa"/>
            <w:noWrap w:val="0"/>
            <w:vAlign w:val="top"/>
          </w:tcPr>
          <w:p w14:paraId="60184EEA">
            <w:pPr>
              <w:jc w:val="center"/>
              <w:rPr>
                <w:rFonts w:hint="eastAsia" w:ascii="宋体" w:hAnsi="宋体"/>
              </w:rPr>
            </w:pPr>
            <w:r>
              <w:rPr>
                <w:rFonts w:hint="eastAsia" w:ascii="宋体" w:hAnsi="宋体"/>
              </w:rPr>
              <w:t>线圈浇注耐火泥与脱模检查炉膛耐火泥</w:t>
            </w:r>
          </w:p>
        </w:tc>
      </w:tr>
      <w:tr w14:paraId="33BC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E2DFC14">
            <w:pPr>
              <w:jc w:val="center"/>
              <w:rPr>
                <w:rFonts w:hint="eastAsia" w:ascii="宋体" w:hAnsi="宋体"/>
              </w:rPr>
            </w:pPr>
          </w:p>
        </w:tc>
        <w:tc>
          <w:tcPr>
            <w:tcW w:w="1843" w:type="dxa"/>
            <w:vMerge w:val="continue"/>
            <w:noWrap w:val="0"/>
            <w:vAlign w:val="top"/>
          </w:tcPr>
          <w:p w14:paraId="30B21F14">
            <w:pPr>
              <w:jc w:val="center"/>
              <w:rPr>
                <w:rFonts w:hint="eastAsia" w:ascii="宋体" w:hAnsi="宋体"/>
              </w:rPr>
            </w:pPr>
          </w:p>
        </w:tc>
        <w:tc>
          <w:tcPr>
            <w:tcW w:w="5245" w:type="dxa"/>
            <w:noWrap w:val="0"/>
            <w:vAlign w:val="top"/>
          </w:tcPr>
          <w:p w14:paraId="68452CE6">
            <w:pPr>
              <w:jc w:val="center"/>
              <w:rPr>
                <w:rFonts w:hint="eastAsia" w:ascii="宋体" w:hAnsi="宋体"/>
              </w:rPr>
            </w:pPr>
            <w:r>
              <w:rPr>
                <w:rFonts w:hint="eastAsia" w:ascii="宋体" w:hAnsi="宋体"/>
              </w:rPr>
              <w:t>耐火泥养生放置8小时</w:t>
            </w:r>
          </w:p>
        </w:tc>
      </w:tr>
      <w:tr w14:paraId="409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17B822B">
            <w:pPr>
              <w:jc w:val="center"/>
              <w:rPr>
                <w:rFonts w:hint="eastAsia" w:ascii="宋体" w:hAnsi="宋体"/>
              </w:rPr>
            </w:pPr>
          </w:p>
        </w:tc>
        <w:tc>
          <w:tcPr>
            <w:tcW w:w="1843" w:type="dxa"/>
            <w:vMerge w:val="continue"/>
            <w:noWrap w:val="0"/>
            <w:vAlign w:val="top"/>
          </w:tcPr>
          <w:p w14:paraId="55DB4A1A">
            <w:pPr>
              <w:jc w:val="center"/>
              <w:rPr>
                <w:rFonts w:hint="eastAsia" w:ascii="宋体" w:hAnsi="宋体"/>
              </w:rPr>
            </w:pPr>
          </w:p>
        </w:tc>
        <w:tc>
          <w:tcPr>
            <w:tcW w:w="5245" w:type="dxa"/>
            <w:noWrap w:val="0"/>
            <w:vAlign w:val="top"/>
          </w:tcPr>
          <w:p w14:paraId="7A35FF41">
            <w:pPr>
              <w:jc w:val="center"/>
              <w:rPr>
                <w:rFonts w:hint="eastAsia" w:ascii="宋体" w:hAnsi="宋体"/>
              </w:rPr>
            </w:pPr>
            <w:r>
              <w:rPr>
                <w:rFonts w:hint="eastAsia" w:ascii="宋体" w:hAnsi="宋体"/>
              </w:rPr>
              <w:t>放入烘箱，按照程序烘炉12小时</w:t>
            </w:r>
          </w:p>
        </w:tc>
      </w:tr>
      <w:tr w14:paraId="72BF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FDE968C">
            <w:pPr>
              <w:jc w:val="center"/>
              <w:rPr>
                <w:rFonts w:hint="eastAsia" w:ascii="宋体" w:hAnsi="宋体"/>
              </w:rPr>
            </w:pPr>
          </w:p>
        </w:tc>
        <w:tc>
          <w:tcPr>
            <w:tcW w:w="1843" w:type="dxa"/>
            <w:vMerge w:val="continue"/>
            <w:noWrap w:val="0"/>
            <w:vAlign w:val="top"/>
          </w:tcPr>
          <w:p w14:paraId="507D9551">
            <w:pPr>
              <w:jc w:val="center"/>
              <w:rPr>
                <w:rFonts w:hint="eastAsia" w:ascii="宋体" w:hAnsi="宋体"/>
              </w:rPr>
            </w:pPr>
          </w:p>
        </w:tc>
        <w:tc>
          <w:tcPr>
            <w:tcW w:w="5245" w:type="dxa"/>
            <w:noWrap w:val="0"/>
            <w:vAlign w:val="top"/>
          </w:tcPr>
          <w:p w14:paraId="7F655E8B">
            <w:pPr>
              <w:jc w:val="center"/>
              <w:rPr>
                <w:rFonts w:hint="eastAsia" w:ascii="宋体" w:hAnsi="宋体"/>
              </w:rPr>
            </w:pPr>
            <w:r>
              <w:rPr>
                <w:rFonts w:hint="eastAsia" w:ascii="宋体" w:hAnsi="宋体"/>
              </w:rPr>
              <w:t>线圈各零部件产品总装</w:t>
            </w:r>
          </w:p>
        </w:tc>
      </w:tr>
      <w:tr w14:paraId="280D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45CCD0F">
            <w:pPr>
              <w:jc w:val="center"/>
              <w:rPr>
                <w:rFonts w:hint="eastAsia" w:ascii="宋体" w:hAnsi="宋体"/>
              </w:rPr>
            </w:pPr>
          </w:p>
        </w:tc>
        <w:tc>
          <w:tcPr>
            <w:tcW w:w="1843" w:type="dxa"/>
            <w:vMerge w:val="continue"/>
            <w:noWrap w:val="0"/>
            <w:vAlign w:val="top"/>
          </w:tcPr>
          <w:p w14:paraId="7EFD6F6C">
            <w:pPr>
              <w:jc w:val="center"/>
              <w:rPr>
                <w:rFonts w:hint="eastAsia" w:ascii="宋体" w:hAnsi="宋体"/>
              </w:rPr>
            </w:pPr>
          </w:p>
        </w:tc>
        <w:tc>
          <w:tcPr>
            <w:tcW w:w="5245" w:type="dxa"/>
            <w:noWrap w:val="0"/>
            <w:vAlign w:val="top"/>
          </w:tcPr>
          <w:p w14:paraId="2845BB25">
            <w:pPr>
              <w:jc w:val="center"/>
              <w:rPr>
                <w:rFonts w:hint="eastAsia" w:ascii="宋体" w:hAnsi="宋体"/>
              </w:rPr>
            </w:pPr>
            <w:r>
              <w:rPr>
                <w:rFonts w:hint="eastAsia" w:ascii="宋体" w:hAnsi="宋体"/>
              </w:rPr>
              <w:t>产品水压检测-查漏</w:t>
            </w:r>
          </w:p>
        </w:tc>
      </w:tr>
      <w:tr w14:paraId="6DB2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CE3CDC">
            <w:pPr>
              <w:jc w:val="center"/>
              <w:rPr>
                <w:rFonts w:hint="eastAsia" w:ascii="宋体" w:hAnsi="宋体"/>
              </w:rPr>
            </w:pPr>
          </w:p>
        </w:tc>
        <w:tc>
          <w:tcPr>
            <w:tcW w:w="1843" w:type="dxa"/>
            <w:vMerge w:val="continue"/>
            <w:noWrap w:val="0"/>
            <w:vAlign w:val="top"/>
          </w:tcPr>
          <w:p w14:paraId="41C51DA2">
            <w:pPr>
              <w:jc w:val="center"/>
              <w:rPr>
                <w:rFonts w:hint="eastAsia" w:ascii="宋体" w:hAnsi="宋体"/>
              </w:rPr>
            </w:pPr>
          </w:p>
        </w:tc>
        <w:tc>
          <w:tcPr>
            <w:tcW w:w="5245" w:type="dxa"/>
            <w:noWrap w:val="0"/>
            <w:vAlign w:val="top"/>
          </w:tcPr>
          <w:p w14:paraId="3DF8B1EB">
            <w:pPr>
              <w:jc w:val="center"/>
              <w:rPr>
                <w:rFonts w:hint="eastAsia" w:ascii="宋体" w:hAnsi="宋体"/>
              </w:rPr>
            </w:pPr>
            <w:r>
              <w:rPr>
                <w:rFonts w:hint="eastAsia" w:ascii="宋体" w:hAnsi="宋体"/>
              </w:rPr>
              <w:t>产品外观检查与清洁</w:t>
            </w:r>
          </w:p>
        </w:tc>
      </w:tr>
      <w:tr w14:paraId="2BBA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47CB79D">
            <w:pPr>
              <w:jc w:val="center"/>
              <w:rPr>
                <w:rFonts w:hint="eastAsia" w:ascii="宋体" w:hAnsi="宋体"/>
              </w:rPr>
            </w:pPr>
          </w:p>
        </w:tc>
        <w:tc>
          <w:tcPr>
            <w:tcW w:w="1843" w:type="dxa"/>
            <w:vMerge w:val="continue"/>
            <w:noWrap w:val="0"/>
            <w:vAlign w:val="top"/>
          </w:tcPr>
          <w:p w14:paraId="16588DD9">
            <w:pPr>
              <w:jc w:val="center"/>
              <w:rPr>
                <w:rFonts w:hint="eastAsia" w:ascii="宋体" w:hAnsi="宋体"/>
              </w:rPr>
            </w:pPr>
          </w:p>
        </w:tc>
        <w:tc>
          <w:tcPr>
            <w:tcW w:w="5245" w:type="dxa"/>
            <w:tcBorders>
              <w:bottom w:val="single" w:color="auto" w:sz="4" w:space="0"/>
            </w:tcBorders>
            <w:noWrap w:val="0"/>
            <w:vAlign w:val="top"/>
          </w:tcPr>
          <w:p w14:paraId="04781F1B">
            <w:pPr>
              <w:jc w:val="center"/>
              <w:rPr>
                <w:rFonts w:hint="eastAsia" w:ascii="宋体" w:hAnsi="宋体"/>
              </w:rPr>
            </w:pPr>
            <w:r>
              <w:rPr>
                <w:rFonts w:hint="eastAsia" w:ascii="宋体" w:hAnsi="宋体"/>
              </w:rPr>
              <w:t>贴标签，合格证</w:t>
            </w:r>
          </w:p>
        </w:tc>
      </w:tr>
      <w:tr w14:paraId="3388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22986A9">
            <w:pPr>
              <w:jc w:val="center"/>
              <w:rPr>
                <w:rFonts w:hint="eastAsia" w:ascii="宋体" w:hAnsi="宋体"/>
              </w:rPr>
            </w:pPr>
          </w:p>
        </w:tc>
        <w:tc>
          <w:tcPr>
            <w:tcW w:w="1843" w:type="dxa"/>
            <w:vMerge w:val="continue"/>
            <w:noWrap w:val="0"/>
            <w:vAlign w:val="top"/>
          </w:tcPr>
          <w:p w14:paraId="6FDF32F8">
            <w:pPr>
              <w:jc w:val="center"/>
              <w:rPr>
                <w:rFonts w:hint="eastAsia" w:ascii="宋体" w:hAnsi="宋体"/>
              </w:rPr>
            </w:pPr>
          </w:p>
        </w:tc>
        <w:tc>
          <w:tcPr>
            <w:tcW w:w="5245" w:type="dxa"/>
            <w:tcBorders>
              <w:bottom w:val="single" w:color="auto" w:sz="4" w:space="0"/>
            </w:tcBorders>
            <w:noWrap w:val="0"/>
            <w:vAlign w:val="top"/>
          </w:tcPr>
          <w:p w14:paraId="5D64F236">
            <w:pPr>
              <w:jc w:val="center"/>
              <w:rPr>
                <w:rFonts w:hint="eastAsia" w:ascii="宋体" w:hAnsi="宋体"/>
              </w:rPr>
            </w:pPr>
            <w:r>
              <w:rPr>
                <w:rFonts w:hint="eastAsia" w:ascii="宋体" w:hAnsi="宋体"/>
              </w:rPr>
              <w:t>包装、运输及保险</w:t>
            </w:r>
          </w:p>
        </w:tc>
      </w:tr>
      <w:tr w14:paraId="1032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AAD32A7">
            <w:pPr>
              <w:jc w:val="center"/>
              <w:rPr>
                <w:rFonts w:hint="eastAsia" w:ascii="宋体" w:hAnsi="宋体"/>
              </w:rPr>
            </w:pPr>
          </w:p>
        </w:tc>
        <w:tc>
          <w:tcPr>
            <w:tcW w:w="1843" w:type="dxa"/>
            <w:vMerge w:val="continue"/>
            <w:noWrap w:val="0"/>
            <w:vAlign w:val="top"/>
          </w:tcPr>
          <w:p w14:paraId="7F354983">
            <w:pPr>
              <w:jc w:val="center"/>
              <w:rPr>
                <w:rFonts w:hint="eastAsia" w:ascii="宋体" w:hAnsi="宋体"/>
              </w:rPr>
            </w:pPr>
          </w:p>
        </w:tc>
        <w:tc>
          <w:tcPr>
            <w:tcW w:w="5245" w:type="dxa"/>
            <w:tcBorders>
              <w:top w:val="single" w:color="auto" w:sz="4" w:space="0"/>
              <w:bottom w:val="single" w:color="auto" w:sz="4" w:space="0"/>
            </w:tcBorders>
            <w:noWrap w:val="0"/>
            <w:vAlign w:val="top"/>
          </w:tcPr>
          <w:p w14:paraId="5EFAB7ED">
            <w:pPr>
              <w:jc w:val="center"/>
              <w:rPr>
                <w:rFonts w:hint="eastAsia" w:ascii="宋体" w:hAnsi="宋体"/>
              </w:rPr>
            </w:pPr>
            <w:r>
              <w:rPr>
                <w:rFonts w:hint="eastAsia" w:ascii="宋体" w:hAnsi="宋体"/>
              </w:rPr>
              <w:t>说明：标准维修是指线圈绝缘层损坏的维修，维修线圈必须更换的备件有：</w:t>
            </w:r>
          </w:p>
        </w:tc>
      </w:tr>
      <w:tr w14:paraId="56A0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E9D9C02">
            <w:pPr>
              <w:jc w:val="center"/>
              <w:rPr>
                <w:rFonts w:hint="eastAsia" w:ascii="宋体" w:hAnsi="宋体"/>
              </w:rPr>
            </w:pPr>
          </w:p>
        </w:tc>
        <w:tc>
          <w:tcPr>
            <w:tcW w:w="1843" w:type="dxa"/>
            <w:vMerge w:val="continue"/>
            <w:noWrap w:val="0"/>
            <w:vAlign w:val="top"/>
          </w:tcPr>
          <w:p w14:paraId="1922C56D">
            <w:pPr>
              <w:jc w:val="center"/>
              <w:rPr>
                <w:rFonts w:hint="eastAsia" w:ascii="宋体" w:hAnsi="宋体"/>
              </w:rPr>
            </w:pPr>
          </w:p>
        </w:tc>
        <w:tc>
          <w:tcPr>
            <w:tcW w:w="5245" w:type="dxa"/>
            <w:tcBorders>
              <w:top w:val="single" w:color="auto" w:sz="4" w:space="0"/>
              <w:bottom w:val="single" w:color="auto" w:sz="4" w:space="0"/>
            </w:tcBorders>
            <w:noWrap w:val="0"/>
            <w:vAlign w:val="top"/>
          </w:tcPr>
          <w:p w14:paraId="147B33C1">
            <w:pPr>
              <w:numPr>
                <w:ilvl w:val="0"/>
                <w:numId w:val="12"/>
              </w:numPr>
              <w:jc w:val="center"/>
              <w:rPr>
                <w:rFonts w:hint="eastAsia" w:ascii="宋体" w:hAnsi="宋体"/>
              </w:rPr>
            </w:pPr>
            <w:r>
              <w:rPr>
                <w:rFonts w:hint="eastAsia" w:ascii="宋体" w:hAnsi="宋体"/>
              </w:rPr>
              <w:t>进口尼龙粉和底漆</w:t>
            </w:r>
          </w:p>
        </w:tc>
      </w:tr>
      <w:tr w14:paraId="7FC9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B1B5B7D">
            <w:pPr>
              <w:jc w:val="center"/>
              <w:rPr>
                <w:rFonts w:hint="eastAsia" w:ascii="宋体" w:hAnsi="宋体"/>
              </w:rPr>
            </w:pPr>
          </w:p>
        </w:tc>
        <w:tc>
          <w:tcPr>
            <w:tcW w:w="1843" w:type="dxa"/>
            <w:vMerge w:val="continue"/>
            <w:noWrap w:val="0"/>
            <w:vAlign w:val="top"/>
          </w:tcPr>
          <w:p w14:paraId="45304CDF">
            <w:pPr>
              <w:jc w:val="center"/>
              <w:rPr>
                <w:rFonts w:hint="eastAsia" w:ascii="宋体" w:hAnsi="宋体"/>
              </w:rPr>
            </w:pPr>
          </w:p>
        </w:tc>
        <w:tc>
          <w:tcPr>
            <w:tcW w:w="5245" w:type="dxa"/>
            <w:tcBorders>
              <w:top w:val="single" w:color="auto" w:sz="4" w:space="0"/>
              <w:bottom w:val="single" w:color="auto" w:sz="4" w:space="0"/>
            </w:tcBorders>
            <w:noWrap w:val="0"/>
            <w:vAlign w:val="top"/>
          </w:tcPr>
          <w:p w14:paraId="61A46372">
            <w:pPr>
              <w:numPr>
                <w:ilvl w:val="0"/>
                <w:numId w:val="12"/>
              </w:numPr>
              <w:jc w:val="center"/>
              <w:rPr>
                <w:rFonts w:hint="eastAsia" w:ascii="宋体" w:hAnsi="宋体"/>
              </w:rPr>
            </w:pPr>
            <w:r>
              <w:rPr>
                <w:rFonts w:hint="eastAsia" w:ascii="宋体" w:hAnsi="宋体"/>
              </w:rPr>
              <w:t>耐火泥涂抹料</w:t>
            </w:r>
          </w:p>
        </w:tc>
      </w:tr>
      <w:tr w14:paraId="67D1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9E57644">
            <w:pPr>
              <w:jc w:val="center"/>
              <w:rPr>
                <w:rFonts w:hint="eastAsia" w:ascii="宋体" w:hAnsi="宋体"/>
              </w:rPr>
            </w:pPr>
          </w:p>
        </w:tc>
        <w:tc>
          <w:tcPr>
            <w:tcW w:w="1843" w:type="dxa"/>
            <w:vMerge w:val="continue"/>
            <w:noWrap w:val="0"/>
            <w:vAlign w:val="top"/>
          </w:tcPr>
          <w:p w14:paraId="15068227">
            <w:pPr>
              <w:jc w:val="center"/>
              <w:rPr>
                <w:rFonts w:hint="eastAsia" w:ascii="宋体" w:hAnsi="宋体"/>
              </w:rPr>
            </w:pPr>
          </w:p>
        </w:tc>
        <w:tc>
          <w:tcPr>
            <w:tcW w:w="5245" w:type="dxa"/>
            <w:tcBorders>
              <w:top w:val="single" w:color="auto" w:sz="4" w:space="0"/>
              <w:bottom w:val="single" w:color="auto" w:sz="4" w:space="0"/>
            </w:tcBorders>
            <w:noWrap w:val="0"/>
            <w:vAlign w:val="top"/>
          </w:tcPr>
          <w:p w14:paraId="092EA69F">
            <w:pPr>
              <w:numPr>
                <w:ilvl w:val="0"/>
                <w:numId w:val="12"/>
              </w:numPr>
              <w:jc w:val="center"/>
              <w:rPr>
                <w:rFonts w:hint="eastAsia" w:ascii="宋体" w:hAnsi="宋体"/>
              </w:rPr>
            </w:pPr>
            <w:r>
              <w:rPr>
                <w:rFonts w:hint="eastAsia" w:ascii="宋体" w:hAnsi="宋体"/>
              </w:rPr>
              <w:t>银焊条</w:t>
            </w:r>
          </w:p>
        </w:tc>
      </w:tr>
      <w:tr w14:paraId="56D0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366B762">
            <w:pPr>
              <w:jc w:val="center"/>
              <w:rPr>
                <w:rFonts w:hint="eastAsia" w:ascii="宋体" w:hAnsi="宋体"/>
              </w:rPr>
            </w:pPr>
          </w:p>
        </w:tc>
        <w:tc>
          <w:tcPr>
            <w:tcW w:w="1843" w:type="dxa"/>
            <w:vMerge w:val="continue"/>
            <w:noWrap w:val="0"/>
            <w:vAlign w:val="top"/>
          </w:tcPr>
          <w:p w14:paraId="2DE54384">
            <w:pPr>
              <w:jc w:val="center"/>
              <w:rPr>
                <w:rFonts w:hint="eastAsia" w:ascii="宋体" w:hAnsi="宋体"/>
              </w:rPr>
            </w:pPr>
          </w:p>
        </w:tc>
        <w:tc>
          <w:tcPr>
            <w:tcW w:w="5245" w:type="dxa"/>
            <w:tcBorders>
              <w:top w:val="single" w:color="auto" w:sz="4" w:space="0"/>
              <w:bottom w:val="single" w:color="auto" w:sz="4" w:space="0"/>
            </w:tcBorders>
            <w:noWrap w:val="0"/>
            <w:vAlign w:val="top"/>
          </w:tcPr>
          <w:p w14:paraId="28F820A9">
            <w:pPr>
              <w:numPr>
                <w:ilvl w:val="0"/>
                <w:numId w:val="12"/>
              </w:numPr>
              <w:jc w:val="center"/>
              <w:rPr>
                <w:rFonts w:hint="eastAsia" w:ascii="宋体" w:hAnsi="宋体"/>
              </w:rPr>
            </w:pPr>
            <w:r>
              <w:rPr>
                <w:rFonts w:hint="eastAsia" w:ascii="宋体" w:hAnsi="宋体"/>
              </w:rPr>
              <w:t>全套绝缘橡胶板（规格1/2′和3/8′）</w:t>
            </w:r>
          </w:p>
        </w:tc>
      </w:tr>
      <w:tr w14:paraId="64B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8462D31">
            <w:pPr>
              <w:jc w:val="center"/>
              <w:rPr>
                <w:rFonts w:hint="eastAsia" w:ascii="宋体" w:hAnsi="宋体"/>
              </w:rPr>
            </w:pPr>
          </w:p>
        </w:tc>
        <w:tc>
          <w:tcPr>
            <w:tcW w:w="1843" w:type="dxa"/>
            <w:vMerge w:val="continue"/>
            <w:noWrap w:val="0"/>
            <w:vAlign w:val="top"/>
          </w:tcPr>
          <w:p w14:paraId="0253648F">
            <w:pPr>
              <w:jc w:val="center"/>
              <w:rPr>
                <w:rFonts w:hint="eastAsia" w:ascii="宋体" w:hAnsi="宋体"/>
              </w:rPr>
            </w:pPr>
          </w:p>
        </w:tc>
        <w:tc>
          <w:tcPr>
            <w:tcW w:w="5245" w:type="dxa"/>
            <w:tcBorders>
              <w:top w:val="single" w:color="auto" w:sz="4" w:space="0"/>
              <w:bottom w:val="single" w:color="auto" w:sz="4" w:space="0"/>
            </w:tcBorders>
            <w:noWrap w:val="0"/>
            <w:vAlign w:val="top"/>
          </w:tcPr>
          <w:p w14:paraId="29318A07">
            <w:pPr>
              <w:numPr>
                <w:ilvl w:val="0"/>
                <w:numId w:val="12"/>
              </w:numPr>
              <w:jc w:val="center"/>
              <w:rPr>
                <w:rFonts w:hint="eastAsia" w:ascii="宋体" w:hAnsi="宋体"/>
              </w:rPr>
            </w:pPr>
            <w:r>
              <w:rPr>
                <w:rFonts w:hint="eastAsia" w:ascii="宋体" w:hAnsi="宋体"/>
              </w:rPr>
              <w:t>全套弱磁不锈钢卡箍（规格1/2′和3/8′）</w:t>
            </w:r>
          </w:p>
        </w:tc>
      </w:tr>
      <w:tr w14:paraId="2310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47FA520">
            <w:pPr>
              <w:jc w:val="center"/>
              <w:rPr>
                <w:rFonts w:hint="eastAsia" w:ascii="宋体" w:hAnsi="宋体"/>
              </w:rPr>
            </w:pPr>
          </w:p>
        </w:tc>
        <w:tc>
          <w:tcPr>
            <w:tcW w:w="1843" w:type="dxa"/>
            <w:vMerge w:val="continue"/>
            <w:tcBorders>
              <w:bottom w:val="single" w:color="auto" w:sz="4" w:space="0"/>
            </w:tcBorders>
            <w:noWrap w:val="0"/>
            <w:vAlign w:val="top"/>
          </w:tcPr>
          <w:p w14:paraId="26415F89">
            <w:pPr>
              <w:jc w:val="center"/>
              <w:rPr>
                <w:rFonts w:hint="eastAsia" w:ascii="宋体" w:hAnsi="宋体"/>
              </w:rPr>
            </w:pPr>
          </w:p>
        </w:tc>
        <w:tc>
          <w:tcPr>
            <w:tcW w:w="5245" w:type="dxa"/>
            <w:tcBorders>
              <w:top w:val="single" w:color="auto" w:sz="4" w:space="0"/>
              <w:bottom w:val="single" w:color="auto" w:sz="4" w:space="0"/>
            </w:tcBorders>
            <w:noWrap w:val="0"/>
            <w:vAlign w:val="top"/>
          </w:tcPr>
          <w:p w14:paraId="248B8E84">
            <w:pPr>
              <w:numPr>
                <w:ilvl w:val="0"/>
                <w:numId w:val="12"/>
              </w:numPr>
              <w:jc w:val="center"/>
              <w:rPr>
                <w:rFonts w:hint="eastAsia" w:ascii="宋体" w:hAnsi="宋体"/>
              </w:rPr>
            </w:pPr>
            <w:r>
              <w:rPr>
                <w:rFonts w:hint="eastAsia" w:ascii="宋体" w:hAnsi="宋体"/>
              </w:rPr>
              <w:t>其他修理耗材：耐火合成云母带，热缩管，硅胶套，铝箔纸带，铜和不锈钢螺母标准件等</w:t>
            </w:r>
          </w:p>
        </w:tc>
      </w:tr>
      <w:tr w14:paraId="1F97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756298B7">
            <w:pPr>
              <w:jc w:val="center"/>
              <w:rPr>
                <w:rFonts w:hint="eastAsia" w:ascii="宋体" w:hAnsi="宋体"/>
              </w:rPr>
            </w:pPr>
            <w:r>
              <w:rPr>
                <w:rFonts w:hint="eastAsia" w:ascii="宋体" w:hAnsi="宋体"/>
              </w:rPr>
              <w:t>2</w:t>
            </w:r>
          </w:p>
        </w:tc>
        <w:tc>
          <w:tcPr>
            <w:tcW w:w="1843" w:type="dxa"/>
            <w:vMerge w:val="restart"/>
            <w:noWrap w:val="0"/>
            <w:vAlign w:val="center"/>
          </w:tcPr>
          <w:p w14:paraId="55CF7184">
            <w:pPr>
              <w:jc w:val="center"/>
              <w:rPr>
                <w:rFonts w:hint="eastAsia" w:ascii="宋体" w:hAnsi="宋体"/>
              </w:rPr>
            </w:pPr>
            <w:r>
              <w:rPr>
                <w:rFonts w:hint="eastAsia" w:ascii="宋体" w:hAnsi="宋体"/>
              </w:rPr>
              <w:t>配件   （选修）</w:t>
            </w:r>
          </w:p>
        </w:tc>
        <w:tc>
          <w:tcPr>
            <w:tcW w:w="5245" w:type="dxa"/>
            <w:tcBorders>
              <w:top w:val="single" w:color="auto" w:sz="4" w:space="0"/>
              <w:bottom w:val="single" w:color="auto" w:sz="4" w:space="0"/>
            </w:tcBorders>
            <w:noWrap w:val="0"/>
            <w:vAlign w:val="top"/>
          </w:tcPr>
          <w:p w14:paraId="2768672C">
            <w:pPr>
              <w:jc w:val="center"/>
              <w:rPr>
                <w:rFonts w:hint="eastAsia" w:ascii="宋体" w:hAnsi="宋体"/>
              </w:rPr>
            </w:pPr>
            <w:r>
              <w:rPr>
                <w:rFonts w:hint="eastAsia" w:ascii="宋体" w:hAnsi="宋体"/>
              </w:rPr>
              <w:t>修理线圈箱</w:t>
            </w:r>
          </w:p>
        </w:tc>
      </w:tr>
      <w:tr w14:paraId="193E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242" w:type="dxa"/>
            <w:vMerge w:val="continue"/>
            <w:noWrap w:val="0"/>
            <w:vAlign w:val="center"/>
          </w:tcPr>
          <w:p w14:paraId="34A76EBE">
            <w:pPr>
              <w:jc w:val="center"/>
              <w:rPr>
                <w:rFonts w:hint="eastAsia" w:ascii="宋体" w:hAnsi="宋体"/>
              </w:rPr>
            </w:pPr>
          </w:p>
        </w:tc>
        <w:tc>
          <w:tcPr>
            <w:tcW w:w="1843" w:type="dxa"/>
            <w:vMerge w:val="continue"/>
            <w:noWrap w:val="0"/>
            <w:vAlign w:val="center"/>
          </w:tcPr>
          <w:p w14:paraId="44E89D15">
            <w:pPr>
              <w:jc w:val="center"/>
              <w:rPr>
                <w:rFonts w:hint="eastAsia" w:ascii="宋体" w:hAnsi="宋体"/>
              </w:rPr>
            </w:pPr>
          </w:p>
        </w:tc>
        <w:tc>
          <w:tcPr>
            <w:tcW w:w="5245" w:type="dxa"/>
            <w:tcBorders>
              <w:top w:val="single" w:color="auto" w:sz="4" w:space="0"/>
            </w:tcBorders>
            <w:noWrap w:val="0"/>
            <w:vAlign w:val="top"/>
          </w:tcPr>
          <w:p w14:paraId="1ACB987A">
            <w:pPr>
              <w:jc w:val="center"/>
              <w:rPr>
                <w:rFonts w:hint="eastAsia" w:ascii="宋体" w:hAnsi="宋体"/>
              </w:rPr>
            </w:pPr>
            <w:r>
              <w:rPr>
                <w:rFonts w:hint="eastAsia" w:ascii="宋体" w:hAnsi="宋体"/>
              </w:rPr>
              <w:t>出入口端部水冷铜板</w:t>
            </w:r>
          </w:p>
        </w:tc>
      </w:tr>
      <w:tr w14:paraId="206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A202593">
            <w:pPr>
              <w:jc w:val="center"/>
              <w:rPr>
                <w:rFonts w:hint="eastAsia" w:ascii="宋体" w:hAnsi="宋体"/>
              </w:rPr>
            </w:pPr>
          </w:p>
        </w:tc>
        <w:tc>
          <w:tcPr>
            <w:tcW w:w="1843" w:type="dxa"/>
            <w:vMerge w:val="continue"/>
            <w:noWrap w:val="0"/>
            <w:vAlign w:val="top"/>
          </w:tcPr>
          <w:p w14:paraId="3A3288DA">
            <w:pPr>
              <w:jc w:val="center"/>
              <w:rPr>
                <w:rFonts w:hint="eastAsia" w:ascii="宋体" w:hAnsi="宋体"/>
              </w:rPr>
            </w:pPr>
          </w:p>
        </w:tc>
        <w:tc>
          <w:tcPr>
            <w:tcW w:w="5245" w:type="dxa"/>
            <w:noWrap w:val="0"/>
            <w:vAlign w:val="top"/>
          </w:tcPr>
          <w:p w14:paraId="1C41B1AC">
            <w:pPr>
              <w:jc w:val="center"/>
              <w:rPr>
                <w:rFonts w:hint="eastAsia" w:ascii="宋体" w:hAnsi="宋体"/>
              </w:rPr>
            </w:pPr>
            <w:r>
              <w:rPr>
                <w:rFonts w:hint="eastAsia" w:ascii="宋体" w:hAnsi="宋体"/>
              </w:rPr>
              <w:t>合金耐磨层水冷导轨</w:t>
            </w:r>
          </w:p>
        </w:tc>
      </w:tr>
      <w:tr w14:paraId="6C60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5225A09">
            <w:pPr>
              <w:jc w:val="center"/>
              <w:rPr>
                <w:rFonts w:hint="eastAsia" w:ascii="宋体" w:hAnsi="宋体"/>
              </w:rPr>
            </w:pPr>
          </w:p>
        </w:tc>
        <w:tc>
          <w:tcPr>
            <w:tcW w:w="1843" w:type="dxa"/>
            <w:vMerge w:val="continue"/>
            <w:noWrap w:val="0"/>
            <w:vAlign w:val="top"/>
          </w:tcPr>
          <w:p w14:paraId="622B7C9B">
            <w:pPr>
              <w:jc w:val="center"/>
              <w:rPr>
                <w:rFonts w:hint="eastAsia" w:ascii="宋体" w:hAnsi="宋体"/>
              </w:rPr>
            </w:pPr>
          </w:p>
        </w:tc>
        <w:tc>
          <w:tcPr>
            <w:tcW w:w="5245" w:type="dxa"/>
            <w:noWrap w:val="0"/>
            <w:vAlign w:val="top"/>
          </w:tcPr>
          <w:p w14:paraId="125B333C">
            <w:pPr>
              <w:jc w:val="center"/>
              <w:rPr>
                <w:rFonts w:hint="eastAsia" w:ascii="宋体" w:hAnsi="宋体"/>
              </w:rPr>
            </w:pPr>
            <w:r>
              <w:rPr>
                <w:rFonts w:hint="eastAsia" w:ascii="宋体" w:hAnsi="宋体"/>
              </w:rPr>
              <w:t>绝缘隔热线圈箱</w:t>
            </w:r>
          </w:p>
        </w:tc>
      </w:tr>
      <w:tr w14:paraId="74B9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29675E0">
            <w:pPr>
              <w:jc w:val="center"/>
              <w:rPr>
                <w:rFonts w:hint="eastAsia" w:ascii="宋体" w:hAnsi="宋体"/>
              </w:rPr>
            </w:pPr>
          </w:p>
        </w:tc>
        <w:tc>
          <w:tcPr>
            <w:tcW w:w="1843" w:type="dxa"/>
            <w:vMerge w:val="continue"/>
            <w:noWrap w:val="0"/>
            <w:vAlign w:val="top"/>
          </w:tcPr>
          <w:p w14:paraId="684777C6">
            <w:pPr>
              <w:jc w:val="center"/>
              <w:rPr>
                <w:rFonts w:hint="eastAsia" w:ascii="宋体" w:hAnsi="宋体"/>
              </w:rPr>
            </w:pPr>
          </w:p>
        </w:tc>
        <w:tc>
          <w:tcPr>
            <w:tcW w:w="5245" w:type="dxa"/>
            <w:noWrap w:val="0"/>
            <w:vAlign w:val="top"/>
          </w:tcPr>
          <w:p w14:paraId="1A57DFD0">
            <w:pPr>
              <w:jc w:val="center"/>
              <w:rPr>
                <w:rFonts w:hint="eastAsia" w:ascii="宋体" w:hAnsi="宋体"/>
              </w:rPr>
            </w:pPr>
            <w:r>
              <w:rPr>
                <w:rFonts w:hint="eastAsia" w:ascii="宋体" w:hAnsi="宋体"/>
              </w:rPr>
              <w:t>无氧铜线圈绕组</w:t>
            </w:r>
          </w:p>
        </w:tc>
      </w:tr>
      <w:tr w14:paraId="4DDA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44A7B23">
            <w:pPr>
              <w:jc w:val="center"/>
              <w:rPr>
                <w:rFonts w:hint="eastAsia" w:ascii="宋体" w:hAnsi="宋体"/>
              </w:rPr>
            </w:pPr>
          </w:p>
        </w:tc>
        <w:tc>
          <w:tcPr>
            <w:tcW w:w="1843" w:type="dxa"/>
            <w:vMerge w:val="continue"/>
            <w:noWrap w:val="0"/>
            <w:vAlign w:val="top"/>
          </w:tcPr>
          <w:p w14:paraId="5EEDA144">
            <w:pPr>
              <w:jc w:val="center"/>
              <w:rPr>
                <w:rFonts w:hint="eastAsia" w:ascii="宋体" w:hAnsi="宋体"/>
              </w:rPr>
            </w:pPr>
          </w:p>
        </w:tc>
        <w:tc>
          <w:tcPr>
            <w:tcW w:w="5245" w:type="dxa"/>
            <w:noWrap w:val="0"/>
            <w:vAlign w:val="top"/>
          </w:tcPr>
          <w:p w14:paraId="6D201920">
            <w:pPr>
              <w:jc w:val="center"/>
              <w:rPr>
                <w:rFonts w:hint="eastAsia" w:ascii="宋体" w:hAnsi="宋体"/>
              </w:rPr>
            </w:pPr>
            <w:r>
              <w:rPr>
                <w:rFonts w:hint="eastAsia" w:ascii="宋体" w:hAnsi="宋体"/>
              </w:rPr>
              <w:t>线圈水分配器</w:t>
            </w:r>
          </w:p>
        </w:tc>
      </w:tr>
      <w:tr w14:paraId="19A4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7E7EC3D">
            <w:pPr>
              <w:jc w:val="center"/>
              <w:rPr>
                <w:rFonts w:hint="eastAsia" w:ascii="宋体" w:hAnsi="宋体"/>
              </w:rPr>
            </w:pPr>
          </w:p>
        </w:tc>
        <w:tc>
          <w:tcPr>
            <w:tcW w:w="1843" w:type="dxa"/>
            <w:vMerge w:val="continue"/>
            <w:noWrap w:val="0"/>
            <w:vAlign w:val="top"/>
          </w:tcPr>
          <w:p w14:paraId="51F738E2">
            <w:pPr>
              <w:jc w:val="center"/>
              <w:rPr>
                <w:rFonts w:hint="eastAsia" w:ascii="宋体" w:hAnsi="宋体"/>
              </w:rPr>
            </w:pPr>
          </w:p>
        </w:tc>
        <w:tc>
          <w:tcPr>
            <w:tcW w:w="5245" w:type="dxa"/>
            <w:noWrap w:val="0"/>
            <w:vAlign w:val="top"/>
          </w:tcPr>
          <w:p w14:paraId="493D3DA6">
            <w:pPr>
              <w:jc w:val="center"/>
              <w:rPr>
                <w:rFonts w:hint="eastAsia" w:ascii="宋体" w:hAnsi="宋体" w:eastAsia="宋体"/>
                <w:lang w:eastAsia="zh-CN"/>
              </w:rPr>
            </w:pPr>
            <w:r>
              <w:rPr>
                <w:rFonts w:hint="eastAsia" w:ascii="宋体" w:hAnsi="宋体"/>
                <w:lang w:eastAsia="zh-CN"/>
              </w:rPr>
              <w:t>卡套接头，型号R-1900022SS</w:t>
            </w:r>
          </w:p>
        </w:tc>
      </w:tr>
      <w:tr w14:paraId="5418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1004AED">
            <w:pPr>
              <w:jc w:val="center"/>
              <w:rPr>
                <w:rFonts w:hint="eastAsia" w:ascii="宋体" w:hAnsi="宋体"/>
              </w:rPr>
            </w:pPr>
          </w:p>
        </w:tc>
        <w:tc>
          <w:tcPr>
            <w:tcW w:w="1843" w:type="dxa"/>
            <w:vMerge w:val="continue"/>
            <w:noWrap w:val="0"/>
            <w:vAlign w:val="top"/>
          </w:tcPr>
          <w:p w14:paraId="7C9F3061">
            <w:pPr>
              <w:jc w:val="center"/>
              <w:rPr>
                <w:rFonts w:hint="eastAsia" w:ascii="宋体" w:hAnsi="宋体"/>
              </w:rPr>
            </w:pPr>
          </w:p>
        </w:tc>
        <w:tc>
          <w:tcPr>
            <w:tcW w:w="5245" w:type="dxa"/>
            <w:noWrap w:val="0"/>
            <w:vAlign w:val="top"/>
          </w:tcPr>
          <w:p w14:paraId="333295D4">
            <w:pPr>
              <w:jc w:val="center"/>
              <w:rPr>
                <w:rFonts w:hint="eastAsia" w:ascii="宋体" w:hAnsi="宋体" w:eastAsia="宋体"/>
                <w:lang w:eastAsia="zh-CN"/>
              </w:rPr>
            </w:pPr>
            <w:r>
              <w:rPr>
                <w:rFonts w:hint="eastAsia" w:ascii="宋体" w:hAnsi="宋体"/>
                <w:lang w:eastAsia="zh-CN"/>
              </w:rPr>
              <w:t>水冷导轨，型号：φ8不带涂层</w:t>
            </w:r>
          </w:p>
        </w:tc>
      </w:tr>
    </w:tbl>
    <w:p w14:paraId="0C134B0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2、维修数量由招标方确认后通知投标方，当发生选修项费用时，投标方必须提前通知招标方，由招标方确认后方可进行维修。无招标方确认单发生的选修项维修费用，招标方可以不予结算；</w:t>
      </w:r>
    </w:p>
    <w:p w14:paraId="5BC55FA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3、废旧备件及材料由投标方负责回收，残值已在相关单项报价中进行抵除；</w:t>
      </w:r>
    </w:p>
    <w:p w14:paraId="140F6FB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4、投标方不得转包给其他厂商维修；      </w:t>
      </w:r>
    </w:p>
    <w:p w14:paraId="3457A75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5、该项目为年度框架项目，据实结算；</w:t>
      </w:r>
    </w:p>
    <w:p w14:paraId="7A466358">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6、项目有效期：一年。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7.1本技术协议适用于中国重汽集团济南成型厂2026年度进口应达加热炉膛年度外委维修项目施工。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468B27BE">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承包方按照招标文件、投标文件、技术交流文件等形成并达成一致的技术协议书和合同规定验收。</w:t>
      </w:r>
    </w:p>
    <w:p w14:paraId="0CA4AE5A">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1．验收</w:t>
      </w:r>
    </w:p>
    <w:p w14:paraId="5129BA85">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招标方负责协调各方对成型厂</w:t>
      </w:r>
      <w:r>
        <w:rPr>
          <w:rFonts w:hint="eastAsia" w:ascii="宋体" w:hAnsi="宋体" w:eastAsia="宋体" w:cs="Times New Roman"/>
          <w:kern w:val="2"/>
          <w:sz w:val="21"/>
          <w:szCs w:val="21"/>
          <w:lang w:val="en-US" w:eastAsia="zh-CN" w:bidi="ar-SA"/>
        </w:rPr>
        <w:t>进口应达加热炉膛年度</w:t>
      </w:r>
      <w:r>
        <w:rPr>
          <w:rFonts w:hint="eastAsia" w:ascii="宋体" w:hAnsi="宋体" w:eastAsia="宋体" w:cs="Times New Roman"/>
          <w:spacing w:val="4"/>
          <w:kern w:val="2"/>
          <w:sz w:val="21"/>
          <w:szCs w:val="21"/>
          <w:lang w:val="en-US" w:eastAsia="zh-CN" w:bidi="ar-SA"/>
        </w:rPr>
        <w:t>外委维修项目进行验收。验收由相关各方按照合同要求进行。对验收时不符合验收标准的部分，投标方负责整改，费用投标方自理。</w:t>
      </w:r>
    </w:p>
    <w:p w14:paraId="3219787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2．验收标准</w:t>
      </w:r>
    </w:p>
    <w:p w14:paraId="2F51A76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0B21501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3. 质保期</w:t>
      </w:r>
    </w:p>
    <w:p w14:paraId="1F2787C9">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本合同签订之日起，投标方对产品质量负责，质保期为自最终验收合格后实际使用</w:t>
      </w:r>
      <w:r>
        <w:rPr>
          <w:rFonts w:hint="eastAsia" w:ascii="宋体" w:hAnsi="宋体" w:eastAsia="宋体" w:cs="Times New Roman"/>
          <w:spacing w:val="4"/>
          <w:kern w:val="2"/>
          <w:sz w:val="21"/>
          <w:szCs w:val="21"/>
          <w:highlight w:val="yellow"/>
          <w:lang w:val="en-US" w:eastAsia="zh-CN" w:bidi="ar-SA"/>
        </w:rPr>
        <w:t>不低于三个月（24小时工作制）</w:t>
      </w:r>
      <w:r>
        <w:rPr>
          <w:rFonts w:hint="eastAsia" w:ascii="宋体" w:hAnsi="宋体" w:eastAsia="宋体" w:cs="Times New Roman"/>
          <w:spacing w:val="4"/>
          <w:kern w:val="2"/>
          <w:sz w:val="21"/>
          <w:szCs w:val="21"/>
          <w:lang w:val="en-US" w:eastAsia="zh-CN" w:bidi="ar-SA"/>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353881012"/>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353881017"/>
      <w:bookmarkStart w:id="20" w:name="_Toc639008"/>
      <w:bookmarkStart w:id="21" w:name="_Toc26556"/>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4941" w:type="pct"/>
        <w:jc w:val="center"/>
        <w:tblLayout w:type="fixed"/>
        <w:tblCellMar>
          <w:top w:w="0" w:type="dxa"/>
          <w:left w:w="108" w:type="dxa"/>
          <w:bottom w:w="0" w:type="dxa"/>
          <w:right w:w="108" w:type="dxa"/>
        </w:tblCellMar>
      </w:tblPr>
      <w:tblGrid>
        <w:gridCol w:w="658"/>
        <w:gridCol w:w="2183"/>
        <w:gridCol w:w="2366"/>
        <w:gridCol w:w="1119"/>
        <w:gridCol w:w="559"/>
        <w:gridCol w:w="720"/>
        <w:gridCol w:w="1359"/>
      </w:tblGrid>
      <w:tr w14:paraId="2F7D2EB2">
        <w:tblPrEx>
          <w:tblCellMar>
            <w:top w:w="0" w:type="dxa"/>
            <w:left w:w="108" w:type="dxa"/>
            <w:bottom w:w="0" w:type="dxa"/>
            <w:right w:w="108" w:type="dxa"/>
          </w:tblCellMar>
        </w:tblPrEx>
        <w:trPr>
          <w:trHeight w:val="1695" w:hRule="atLeast"/>
          <w:jc w:val="center"/>
        </w:trPr>
        <w:tc>
          <w:tcPr>
            <w:tcW w:w="367" w:type="pct"/>
            <w:tcBorders>
              <w:top w:val="single" w:color="auto" w:sz="4" w:space="0"/>
              <w:left w:val="single" w:color="auto" w:sz="4" w:space="0"/>
              <w:bottom w:val="single" w:color="auto" w:sz="4" w:space="0"/>
              <w:right w:val="single" w:color="auto" w:sz="4" w:space="0"/>
            </w:tcBorders>
            <w:noWrap/>
            <w:vAlign w:val="center"/>
          </w:tcPr>
          <w:p w14:paraId="1ACF42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17" w:type="pct"/>
            <w:tcBorders>
              <w:top w:val="single" w:color="auto" w:sz="4" w:space="0"/>
              <w:left w:val="nil"/>
              <w:bottom w:val="single" w:color="auto" w:sz="4" w:space="0"/>
              <w:right w:val="single" w:color="auto" w:sz="4" w:space="0"/>
            </w:tcBorders>
            <w:noWrap/>
            <w:vAlign w:val="center"/>
          </w:tcPr>
          <w:p w14:paraId="3C5283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319" w:type="pct"/>
            <w:tcBorders>
              <w:top w:val="single" w:color="auto" w:sz="4" w:space="0"/>
              <w:left w:val="nil"/>
              <w:bottom w:val="single" w:color="auto" w:sz="4" w:space="0"/>
              <w:right w:val="single" w:color="auto" w:sz="4" w:space="0"/>
            </w:tcBorders>
            <w:vAlign w:val="center"/>
          </w:tcPr>
          <w:p w14:paraId="248EC9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624" w:type="pct"/>
            <w:tcBorders>
              <w:top w:val="single" w:color="auto" w:sz="4" w:space="0"/>
              <w:left w:val="single" w:color="auto" w:sz="4" w:space="0"/>
              <w:bottom w:val="single" w:color="auto" w:sz="4" w:space="0"/>
              <w:right w:val="single" w:color="auto" w:sz="4" w:space="0"/>
            </w:tcBorders>
            <w:vAlign w:val="center"/>
          </w:tcPr>
          <w:p w14:paraId="3E3E5372">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311" w:type="pct"/>
            <w:tcBorders>
              <w:top w:val="single" w:color="auto" w:sz="4" w:space="0"/>
              <w:left w:val="single" w:color="auto" w:sz="4" w:space="0"/>
              <w:bottom w:val="single" w:color="auto" w:sz="4" w:space="0"/>
              <w:right w:val="single" w:color="auto" w:sz="4" w:space="0"/>
            </w:tcBorders>
            <w:vAlign w:val="center"/>
          </w:tcPr>
          <w:p w14:paraId="24D6BE20">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401" w:type="pct"/>
            <w:tcBorders>
              <w:top w:val="single" w:color="auto" w:sz="4" w:space="0"/>
              <w:left w:val="single" w:color="auto" w:sz="4" w:space="0"/>
              <w:bottom w:val="single" w:color="auto" w:sz="4" w:space="0"/>
              <w:right w:val="single" w:color="auto" w:sz="4" w:space="0"/>
            </w:tcBorders>
            <w:vAlign w:val="center"/>
          </w:tcPr>
          <w:p w14:paraId="78BDAC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757" w:type="pct"/>
            <w:tcBorders>
              <w:top w:val="single" w:color="auto" w:sz="4" w:space="0"/>
              <w:left w:val="single" w:color="auto" w:sz="4" w:space="0"/>
              <w:bottom w:val="single" w:color="auto" w:sz="4" w:space="0"/>
              <w:right w:val="single" w:color="auto" w:sz="4" w:space="0"/>
            </w:tcBorders>
            <w:noWrap/>
            <w:vAlign w:val="center"/>
          </w:tcPr>
          <w:p w14:paraId="759778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2DC5609C">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71C707B0">
            <w:pPr>
              <w:keepNext w:val="0"/>
              <w:keepLines w:val="0"/>
              <w:widowControl/>
              <w:suppressLineNumbers w:val="0"/>
              <w:jc w:val="center"/>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1</w:t>
            </w:r>
          </w:p>
        </w:tc>
        <w:tc>
          <w:tcPr>
            <w:tcW w:w="1217" w:type="pct"/>
            <w:vMerge w:val="restart"/>
            <w:tcBorders>
              <w:top w:val="nil"/>
              <w:left w:val="nil"/>
              <w:bottom w:val="single" w:color="auto" w:sz="4" w:space="0"/>
              <w:right w:val="single" w:color="auto" w:sz="4" w:space="0"/>
            </w:tcBorders>
            <w:noWrap/>
            <w:vAlign w:val="center"/>
          </w:tcPr>
          <w:p w14:paraId="55E68165">
            <w:pPr>
              <w:keepNext w:val="0"/>
              <w:keepLines w:val="0"/>
              <w:widowControl/>
              <w:suppressLineNumbers w:val="0"/>
              <w:jc w:val="center"/>
              <w:textAlignment w:val="center"/>
              <w:rPr>
                <w:rFonts w:hint="eastAsia" w:ascii="宋体" w:hAnsi="宋体" w:eastAsia="宋体" w:cs="宋体"/>
                <w:kern w:val="0"/>
                <w:sz w:val="22"/>
                <w:szCs w:val="22"/>
                <w:lang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标准维修</w:t>
            </w:r>
          </w:p>
        </w:tc>
        <w:tc>
          <w:tcPr>
            <w:tcW w:w="1319" w:type="pct"/>
            <w:tcBorders>
              <w:top w:val="single" w:color="auto" w:sz="4" w:space="0"/>
              <w:left w:val="nil"/>
              <w:bottom w:val="single" w:color="auto" w:sz="4" w:space="0"/>
              <w:right w:val="single" w:color="auto" w:sz="4" w:space="0"/>
            </w:tcBorders>
            <w:vAlign w:val="center"/>
          </w:tcPr>
          <w:p w14:paraId="562D84C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维修线圈型号与各零件确认</w:t>
            </w:r>
          </w:p>
        </w:tc>
        <w:tc>
          <w:tcPr>
            <w:tcW w:w="624" w:type="pct"/>
            <w:vMerge w:val="restart"/>
            <w:tcBorders>
              <w:top w:val="single" w:color="auto" w:sz="4" w:space="0"/>
              <w:left w:val="single" w:color="auto" w:sz="4" w:space="0"/>
              <w:right w:val="single" w:color="auto" w:sz="4" w:space="0"/>
            </w:tcBorders>
          </w:tcPr>
          <w:p w14:paraId="1A7F52FD">
            <w:pPr>
              <w:widowControl/>
              <w:jc w:val="center"/>
              <w:rPr>
                <w:rFonts w:hint="default" w:ascii="宋体" w:hAnsi="宋体" w:cs="宋体"/>
                <w:color w:val="FF0000"/>
                <w:kern w:val="0"/>
                <w:sz w:val="22"/>
                <w:szCs w:val="22"/>
                <w:lang w:val="en-US" w:eastAsia="zh-CN"/>
              </w:rPr>
            </w:pPr>
          </w:p>
          <w:p w14:paraId="6F56027E">
            <w:pPr>
              <w:bidi w:val="0"/>
              <w:rPr>
                <w:rFonts w:hint="default" w:ascii="Times New Roman" w:hAnsi="Times New Roman" w:eastAsia="宋体" w:cs="Times New Roman"/>
                <w:kern w:val="2"/>
                <w:sz w:val="21"/>
                <w:lang w:val="en-US" w:eastAsia="zh-CN" w:bidi="ar-SA"/>
              </w:rPr>
            </w:pPr>
          </w:p>
          <w:p w14:paraId="280971CA">
            <w:pPr>
              <w:bidi w:val="0"/>
              <w:rPr>
                <w:rFonts w:hint="default"/>
                <w:lang w:val="en-US" w:eastAsia="zh-CN"/>
              </w:rPr>
            </w:pPr>
          </w:p>
          <w:p w14:paraId="79A3D410">
            <w:pPr>
              <w:bidi w:val="0"/>
              <w:rPr>
                <w:rFonts w:hint="default"/>
                <w:lang w:val="en-US" w:eastAsia="zh-CN"/>
              </w:rPr>
            </w:pPr>
          </w:p>
          <w:p w14:paraId="3FB36111">
            <w:pPr>
              <w:bidi w:val="0"/>
              <w:rPr>
                <w:rFonts w:hint="default"/>
                <w:lang w:val="en-US" w:eastAsia="zh-CN"/>
              </w:rPr>
            </w:pPr>
          </w:p>
          <w:p w14:paraId="3FA515CC">
            <w:pPr>
              <w:bidi w:val="0"/>
              <w:rPr>
                <w:rFonts w:hint="default"/>
                <w:lang w:val="en-US" w:eastAsia="zh-CN"/>
              </w:rPr>
            </w:pPr>
          </w:p>
          <w:p w14:paraId="679FF853">
            <w:pPr>
              <w:bidi w:val="0"/>
              <w:rPr>
                <w:rFonts w:hint="default"/>
                <w:lang w:val="en-US" w:eastAsia="zh-CN"/>
              </w:rPr>
            </w:pPr>
          </w:p>
          <w:p w14:paraId="2C65EEBC">
            <w:pPr>
              <w:bidi w:val="0"/>
              <w:rPr>
                <w:rFonts w:hint="default"/>
                <w:lang w:val="en-US" w:eastAsia="zh-CN"/>
              </w:rPr>
            </w:pPr>
          </w:p>
          <w:p w14:paraId="1B56FA4C">
            <w:pPr>
              <w:bidi w:val="0"/>
              <w:rPr>
                <w:rFonts w:hint="default"/>
                <w:lang w:val="en-US" w:eastAsia="zh-CN"/>
              </w:rPr>
            </w:pPr>
          </w:p>
          <w:p w14:paraId="1861971C">
            <w:pPr>
              <w:bidi w:val="0"/>
              <w:rPr>
                <w:rFonts w:hint="default"/>
                <w:lang w:val="en-US" w:eastAsia="zh-CN"/>
              </w:rPr>
            </w:pPr>
          </w:p>
          <w:p w14:paraId="47E7FBE8">
            <w:pPr>
              <w:bidi w:val="0"/>
              <w:rPr>
                <w:rFonts w:hint="default"/>
                <w:lang w:val="en-US" w:eastAsia="zh-CN"/>
              </w:rPr>
            </w:pPr>
          </w:p>
          <w:p w14:paraId="64E6B22C">
            <w:pPr>
              <w:bidi w:val="0"/>
              <w:rPr>
                <w:rFonts w:hint="default"/>
                <w:lang w:val="en-US" w:eastAsia="zh-CN"/>
              </w:rPr>
            </w:pPr>
          </w:p>
          <w:p w14:paraId="4031856D">
            <w:pPr>
              <w:bidi w:val="0"/>
              <w:rPr>
                <w:rFonts w:hint="default"/>
                <w:lang w:val="en-US" w:eastAsia="zh-CN"/>
              </w:rPr>
            </w:pPr>
          </w:p>
          <w:p w14:paraId="49117911">
            <w:pPr>
              <w:bidi w:val="0"/>
              <w:rPr>
                <w:rFonts w:hint="default"/>
                <w:lang w:val="en-US" w:eastAsia="zh-CN"/>
              </w:rPr>
            </w:pPr>
          </w:p>
          <w:p w14:paraId="607C2352">
            <w:pPr>
              <w:bidi w:val="0"/>
              <w:jc w:val="center"/>
              <w:rPr>
                <w:rFonts w:hint="default"/>
                <w:lang w:val="en-US" w:eastAsia="zh-CN"/>
              </w:rPr>
            </w:pPr>
          </w:p>
          <w:p w14:paraId="7CE0A2B9">
            <w:pPr>
              <w:bidi w:val="0"/>
              <w:jc w:val="center"/>
              <w:rPr>
                <w:rFonts w:hint="default"/>
                <w:lang w:val="en-US" w:eastAsia="zh-CN"/>
              </w:rPr>
            </w:pPr>
          </w:p>
          <w:p w14:paraId="59F73620">
            <w:pPr>
              <w:bidi w:val="0"/>
              <w:jc w:val="center"/>
              <w:rPr>
                <w:rFonts w:hint="default"/>
                <w:lang w:val="en-US" w:eastAsia="zh-CN"/>
              </w:rPr>
            </w:pPr>
          </w:p>
          <w:p w14:paraId="7DE3FE23">
            <w:pPr>
              <w:bidi w:val="0"/>
              <w:jc w:val="center"/>
              <w:rPr>
                <w:rFonts w:hint="default"/>
                <w:lang w:val="en-US" w:eastAsia="zh-CN"/>
              </w:rPr>
            </w:pPr>
          </w:p>
          <w:p w14:paraId="4825767A">
            <w:pPr>
              <w:bidi w:val="0"/>
              <w:jc w:val="center"/>
              <w:rPr>
                <w:rFonts w:hint="default"/>
                <w:lang w:val="en-US" w:eastAsia="zh-CN"/>
              </w:rPr>
            </w:pPr>
          </w:p>
          <w:p w14:paraId="7D274492">
            <w:pPr>
              <w:bidi w:val="0"/>
              <w:jc w:val="center"/>
              <w:rPr>
                <w:rFonts w:hint="default"/>
                <w:lang w:val="en-US" w:eastAsia="zh-CN"/>
              </w:rPr>
            </w:pPr>
          </w:p>
          <w:p w14:paraId="28D2C3F7">
            <w:pPr>
              <w:bidi w:val="0"/>
              <w:jc w:val="center"/>
              <w:rPr>
                <w:rFonts w:hint="default"/>
                <w:lang w:val="en-US" w:eastAsia="zh-CN"/>
              </w:rPr>
            </w:pPr>
          </w:p>
          <w:p w14:paraId="5718BA67">
            <w:pPr>
              <w:bidi w:val="0"/>
              <w:jc w:val="center"/>
              <w:rPr>
                <w:rFonts w:hint="default"/>
                <w:lang w:val="en-US" w:eastAsia="zh-CN"/>
              </w:rPr>
            </w:pPr>
            <w:r>
              <w:rPr>
                <w:rFonts w:hint="default"/>
                <w:color w:val="FF0000"/>
                <w:lang w:val="en-US" w:eastAsia="zh-CN"/>
              </w:rPr>
              <w:t>13274.34</w:t>
            </w:r>
          </w:p>
        </w:tc>
        <w:tc>
          <w:tcPr>
            <w:tcW w:w="311" w:type="pct"/>
            <w:vMerge w:val="restart"/>
            <w:tcBorders>
              <w:top w:val="single" w:color="auto" w:sz="4" w:space="0"/>
              <w:left w:val="single" w:color="auto" w:sz="4" w:space="0"/>
              <w:right w:val="single" w:color="auto" w:sz="4" w:space="0"/>
            </w:tcBorders>
            <w:vAlign w:val="center"/>
          </w:tcPr>
          <w:p w14:paraId="293CE28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节</w:t>
            </w:r>
          </w:p>
        </w:tc>
        <w:tc>
          <w:tcPr>
            <w:tcW w:w="401" w:type="pct"/>
            <w:vMerge w:val="restart"/>
            <w:tcBorders>
              <w:top w:val="single" w:color="auto" w:sz="4" w:space="0"/>
              <w:left w:val="single" w:color="auto" w:sz="4" w:space="0"/>
              <w:right w:val="single" w:color="auto" w:sz="4" w:space="0"/>
            </w:tcBorders>
            <w:vAlign w:val="center"/>
          </w:tcPr>
          <w:p w14:paraId="0CD8B35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757" w:type="pct"/>
            <w:vMerge w:val="restart"/>
            <w:tcBorders>
              <w:top w:val="single" w:color="auto" w:sz="4" w:space="0"/>
              <w:left w:val="single" w:color="auto" w:sz="4" w:space="0"/>
              <w:right w:val="single" w:color="auto" w:sz="4" w:space="0"/>
            </w:tcBorders>
            <w:noWrap/>
            <w:vAlign w:val="center"/>
          </w:tcPr>
          <w:p w14:paraId="1121B082">
            <w:pPr>
              <w:widowControl/>
              <w:jc w:val="center"/>
              <w:rPr>
                <w:rFonts w:hint="eastAsia" w:ascii="宋体" w:hAnsi="宋体" w:eastAsia="宋体" w:cs="宋体"/>
                <w:color w:val="000000"/>
                <w:kern w:val="0"/>
                <w:sz w:val="22"/>
                <w:szCs w:val="22"/>
                <w:lang w:val="en-US" w:eastAsia="zh-CN"/>
              </w:rPr>
            </w:pPr>
          </w:p>
        </w:tc>
      </w:tr>
      <w:tr w14:paraId="4F6D302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A1688F1">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631C6AA7">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62AC8A4">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线圈绕组水压与流量检测</w:t>
            </w:r>
          </w:p>
        </w:tc>
        <w:tc>
          <w:tcPr>
            <w:tcW w:w="624" w:type="pct"/>
            <w:vMerge w:val="continue"/>
            <w:tcBorders>
              <w:left w:val="single" w:color="auto" w:sz="4" w:space="0"/>
              <w:right w:val="single" w:color="auto" w:sz="4" w:space="0"/>
            </w:tcBorders>
          </w:tcPr>
          <w:p w14:paraId="2CCEB2D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35C2F1C">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2B8181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AFAE3E2">
            <w:pPr>
              <w:widowControl/>
              <w:jc w:val="center"/>
              <w:rPr>
                <w:rFonts w:ascii="宋体" w:hAnsi="宋体" w:cs="宋体"/>
                <w:color w:val="000000"/>
                <w:kern w:val="0"/>
                <w:sz w:val="22"/>
                <w:szCs w:val="22"/>
              </w:rPr>
            </w:pPr>
          </w:p>
        </w:tc>
      </w:tr>
      <w:tr w14:paraId="61DA043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8D8FD9D">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05E415DD">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5BDCC0E">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拆卸线圈各部件、敲耐火泥及清理</w:t>
            </w:r>
          </w:p>
        </w:tc>
        <w:tc>
          <w:tcPr>
            <w:tcW w:w="624" w:type="pct"/>
            <w:vMerge w:val="continue"/>
            <w:tcBorders>
              <w:left w:val="single" w:color="auto" w:sz="4" w:space="0"/>
              <w:right w:val="single" w:color="auto" w:sz="4" w:space="0"/>
            </w:tcBorders>
          </w:tcPr>
          <w:p w14:paraId="236342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E43366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82E60D6">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ACEB7E0">
            <w:pPr>
              <w:widowControl/>
              <w:jc w:val="center"/>
              <w:rPr>
                <w:rFonts w:ascii="宋体" w:hAnsi="宋体" w:cs="宋体"/>
                <w:color w:val="000000"/>
                <w:kern w:val="0"/>
                <w:sz w:val="22"/>
                <w:szCs w:val="22"/>
              </w:rPr>
            </w:pPr>
          </w:p>
        </w:tc>
      </w:tr>
      <w:tr w14:paraId="26E4D88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77A9251">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42052F12">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F6A94B3">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清除线圈绕组原有绝缘层</w:t>
            </w:r>
          </w:p>
        </w:tc>
        <w:tc>
          <w:tcPr>
            <w:tcW w:w="624" w:type="pct"/>
            <w:vMerge w:val="continue"/>
            <w:tcBorders>
              <w:left w:val="single" w:color="auto" w:sz="4" w:space="0"/>
              <w:right w:val="single" w:color="auto" w:sz="4" w:space="0"/>
            </w:tcBorders>
            <w:shd w:val="clear" w:color="auto" w:fill="auto"/>
            <w:vAlign w:val="top"/>
          </w:tcPr>
          <w:p w14:paraId="37487141">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012C7FAA">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FD4A8AD">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00393C20">
            <w:pPr>
              <w:widowControl/>
              <w:jc w:val="center"/>
              <w:rPr>
                <w:rFonts w:ascii="宋体" w:hAnsi="宋体" w:cs="宋体"/>
                <w:color w:val="000000"/>
                <w:kern w:val="0"/>
                <w:sz w:val="22"/>
                <w:szCs w:val="22"/>
              </w:rPr>
            </w:pPr>
          </w:p>
        </w:tc>
      </w:tr>
      <w:tr w14:paraId="68F4B44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0927E0D">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7B5A1C0D">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A105806">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绕组分支管与节距螺丝银焊条补焊</w:t>
            </w:r>
          </w:p>
        </w:tc>
        <w:tc>
          <w:tcPr>
            <w:tcW w:w="624" w:type="pct"/>
            <w:vMerge w:val="continue"/>
            <w:tcBorders>
              <w:left w:val="single" w:color="auto" w:sz="4" w:space="0"/>
              <w:right w:val="single" w:color="auto" w:sz="4" w:space="0"/>
            </w:tcBorders>
            <w:shd w:val="clear" w:color="auto" w:fill="auto"/>
            <w:vAlign w:val="top"/>
          </w:tcPr>
          <w:p w14:paraId="4306158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395B4F92">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3442AE0">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2226EC06">
            <w:pPr>
              <w:widowControl/>
              <w:jc w:val="center"/>
              <w:rPr>
                <w:rFonts w:ascii="宋体" w:hAnsi="宋体" w:cs="宋体"/>
                <w:color w:val="000000"/>
                <w:kern w:val="0"/>
                <w:sz w:val="22"/>
                <w:szCs w:val="22"/>
              </w:rPr>
            </w:pPr>
          </w:p>
        </w:tc>
      </w:tr>
      <w:tr w14:paraId="2B3C286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C8E0F32">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3D9232">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719C1BA5">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线圈绕组水压检测-补漏</w:t>
            </w:r>
          </w:p>
        </w:tc>
        <w:tc>
          <w:tcPr>
            <w:tcW w:w="624" w:type="pct"/>
            <w:vMerge w:val="continue"/>
            <w:tcBorders>
              <w:left w:val="single" w:color="auto" w:sz="4" w:space="0"/>
              <w:right w:val="single" w:color="auto" w:sz="4" w:space="0"/>
            </w:tcBorders>
          </w:tcPr>
          <w:p w14:paraId="255B4131">
            <w:pPr>
              <w:widowControl/>
              <w:jc w:val="both"/>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268864A5">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696C8DD5">
            <w:pPr>
              <w:widowControl/>
              <w:jc w:val="center"/>
              <w:rPr>
                <w:rFonts w:hint="eastAsia"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16270082">
            <w:pPr>
              <w:widowControl/>
              <w:jc w:val="center"/>
              <w:rPr>
                <w:rFonts w:ascii="宋体" w:hAnsi="宋体" w:cs="宋体"/>
                <w:color w:val="000000"/>
                <w:kern w:val="0"/>
                <w:sz w:val="22"/>
                <w:szCs w:val="22"/>
              </w:rPr>
            </w:pPr>
          </w:p>
        </w:tc>
      </w:tr>
      <w:tr w14:paraId="5CE62B4D">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1DA76F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2B37DD7">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32B02E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线圈表面处理-喷砂</w:t>
            </w:r>
          </w:p>
        </w:tc>
        <w:tc>
          <w:tcPr>
            <w:tcW w:w="624" w:type="pct"/>
            <w:vMerge w:val="continue"/>
            <w:tcBorders>
              <w:left w:val="single" w:color="auto" w:sz="4" w:space="0"/>
              <w:right w:val="single" w:color="auto" w:sz="4" w:space="0"/>
            </w:tcBorders>
          </w:tcPr>
          <w:p w14:paraId="29E6487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715557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F69DDC9">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4DD3175">
            <w:pPr>
              <w:widowControl/>
              <w:jc w:val="center"/>
              <w:rPr>
                <w:rFonts w:ascii="宋体" w:hAnsi="宋体" w:cs="宋体"/>
                <w:color w:val="000000"/>
                <w:kern w:val="0"/>
                <w:sz w:val="22"/>
                <w:szCs w:val="22"/>
              </w:rPr>
            </w:pPr>
          </w:p>
        </w:tc>
      </w:tr>
      <w:tr w14:paraId="387830D4">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77311B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A8D01B1">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20CDCA8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线圈绝缘处理-喷粉（4遍）</w:t>
            </w:r>
          </w:p>
        </w:tc>
        <w:tc>
          <w:tcPr>
            <w:tcW w:w="624" w:type="pct"/>
            <w:vMerge w:val="continue"/>
            <w:tcBorders>
              <w:left w:val="single" w:color="auto" w:sz="4" w:space="0"/>
              <w:right w:val="single" w:color="auto" w:sz="4" w:space="0"/>
            </w:tcBorders>
          </w:tcPr>
          <w:p w14:paraId="42652E28">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F58708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7709301E">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DE0107E">
            <w:pPr>
              <w:widowControl/>
              <w:jc w:val="center"/>
              <w:rPr>
                <w:rFonts w:ascii="宋体" w:hAnsi="宋体" w:cs="宋体"/>
                <w:color w:val="000000"/>
                <w:kern w:val="0"/>
                <w:sz w:val="22"/>
                <w:szCs w:val="22"/>
              </w:rPr>
            </w:pPr>
          </w:p>
        </w:tc>
      </w:tr>
      <w:tr w14:paraId="4BEA5DBA">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B05F4B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F56B54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4DBA5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线圈绕组绝缘层厚度与耐压值测试</w:t>
            </w:r>
          </w:p>
        </w:tc>
        <w:tc>
          <w:tcPr>
            <w:tcW w:w="624" w:type="pct"/>
            <w:vMerge w:val="continue"/>
            <w:tcBorders>
              <w:left w:val="single" w:color="auto" w:sz="4" w:space="0"/>
              <w:right w:val="single" w:color="auto" w:sz="4" w:space="0"/>
            </w:tcBorders>
          </w:tcPr>
          <w:p w14:paraId="2D5857C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3EAFF5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10D4C928">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F8DA39A">
            <w:pPr>
              <w:widowControl/>
              <w:jc w:val="center"/>
              <w:rPr>
                <w:rFonts w:ascii="宋体" w:hAnsi="宋体" w:cs="宋体"/>
                <w:color w:val="000000"/>
                <w:kern w:val="0"/>
                <w:sz w:val="22"/>
                <w:szCs w:val="22"/>
              </w:rPr>
            </w:pPr>
          </w:p>
        </w:tc>
      </w:tr>
      <w:tr w14:paraId="2752BF1F">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33A1C96">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502BA97">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3820B20F">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线圈绕组匝间隙与直线度矫正</w:t>
            </w:r>
          </w:p>
        </w:tc>
        <w:tc>
          <w:tcPr>
            <w:tcW w:w="624" w:type="pct"/>
            <w:vMerge w:val="continue"/>
            <w:tcBorders>
              <w:left w:val="single" w:color="auto" w:sz="4" w:space="0"/>
              <w:right w:val="single" w:color="auto" w:sz="4" w:space="0"/>
            </w:tcBorders>
          </w:tcPr>
          <w:p w14:paraId="3154C4A4">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5E687B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9CB7E8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0FB6942">
            <w:pPr>
              <w:widowControl/>
              <w:jc w:val="center"/>
              <w:rPr>
                <w:rFonts w:ascii="宋体" w:hAnsi="宋体" w:cs="宋体"/>
                <w:color w:val="000000"/>
                <w:kern w:val="0"/>
                <w:sz w:val="22"/>
                <w:szCs w:val="22"/>
              </w:rPr>
            </w:pPr>
          </w:p>
        </w:tc>
      </w:tr>
      <w:tr w14:paraId="46D054DC">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8400495">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92A867A">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286C991">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线圈浇注耐火泥前工装夹具装配</w:t>
            </w:r>
          </w:p>
        </w:tc>
        <w:tc>
          <w:tcPr>
            <w:tcW w:w="624" w:type="pct"/>
            <w:vMerge w:val="continue"/>
            <w:tcBorders>
              <w:left w:val="single" w:color="auto" w:sz="4" w:space="0"/>
              <w:right w:val="single" w:color="auto" w:sz="4" w:space="0"/>
            </w:tcBorders>
          </w:tcPr>
          <w:p w14:paraId="3FC9CE3D">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4952498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2FFAA74">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CCD8C5B">
            <w:pPr>
              <w:widowControl/>
              <w:jc w:val="center"/>
              <w:rPr>
                <w:rFonts w:ascii="宋体" w:hAnsi="宋体" w:cs="宋体"/>
                <w:color w:val="000000"/>
                <w:kern w:val="0"/>
                <w:sz w:val="22"/>
                <w:szCs w:val="22"/>
              </w:rPr>
            </w:pPr>
          </w:p>
        </w:tc>
      </w:tr>
      <w:tr w14:paraId="36C86FD5">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D99254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54F1627F">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4272E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线圈浇注耐火泥与脱模检查炉膛耐火泥</w:t>
            </w:r>
          </w:p>
        </w:tc>
        <w:tc>
          <w:tcPr>
            <w:tcW w:w="624" w:type="pct"/>
            <w:vMerge w:val="continue"/>
            <w:tcBorders>
              <w:left w:val="single" w:color="auto" w:sz="4" w:space="0"/>
              <w:right w:val="single" w:color="auto" w:sz="4" w:space="0"/>
            </w:tcBorders>
          </w:tcPr>
          <w:p w14:paraId="768A28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05617A9">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01D23A2">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1F701A9">
            <w:pPr>
              <w:widowControl/>
              <w:jc w:val="center"/>
              <w:rPr>
                <w:rFonts w:ascii="宋体" w:hAnsi="宋体" w:cs="宋体"/>
                <w:color w:val="000000"/>
                <w:kern w:val="0"/>
                <w:sz w:val="22"/>
                <w:szCs w:val="22"/>
              </w:rPr>
            </w:pPr>
          </w:p>
        </w:tc>
      </w:tr>
      <w:tr w14:paraId="0D518C7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D31B3A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7776BF5">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55C2E80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耐火泥养生放置8小时</w:t>
            </w:r>
          </w:p>
        </w:tc>
        <w:tc>
          <w:tcPr>
            <w:tcW w:w="624" w:type="pct"/>
            <w:vMerge w:val="continue"/>
            <w:tcBorders>
              <w:left w:val="single" w:color="auto" w:sz="4" w:space="0"/>
              <w:right w:val="single" w:color="auto" w:sz="4" w:space="0"/>
            </w:tcBorders>
          </w:tcPr>
          <w:p w14:paraId="3914774E">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E4330A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4EC326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1EC9E1C">
            <w:pPr>
              <w:widowControl/>
              <w:jc w:val="center"/>
              <w:rPr>
                <w:rFonts w:ascii="宋体" w:hAnsi="宋体" w:cs="宋体"/>
                <w:color w:val="000000"/>
                <w:kern w:val="0"/>
                <w:sz w:val="22"/>
                <w:szCs w:val="22"/>
              </w:rPr>
            </w:pPr>
          </w:p>
        </w:tc>
      </w:tr>
      <w:tr w14:paraId="77F1B250">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8B8D1B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FB0B6E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4F68CFDB">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放入烘箱，按照程序烘炉12小时</w:t>
            </w:r>
          </w:p>
        </w:tc>
        <w:tc>
          <w:tcPr>
            <w:tcW w:w="624" w:type="pct"/>
            <w:vMerge w:val="continue"/>
            <w:tcBorders>
              <w:left w:val="single" w:color="auto" w:sz="4" w:space="0"/>
              <w:right w:val="single" w:color="auto" w:sz="4" w:space="0"/>
            </w:tcBorders>
          </w:tcPr>
          <w:p w14:paraId="5E9D0097">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DFC48E2">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6126BE0C">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0E91FA7">
            <w:pPr>
              <w:widowControl/>
              <w:jc w:val="center"/>
              <w:rPr>
                <w:rFonts w:ascii="宋体" w:hAnsi="宋体" w:cs="宋体"/>
                <w:color w:val="000000"/>
                <w:kern w:val="0"/>
                <w:sz w:val="22"/>
                <w:szCs w:val="22"/>
              </w:rPr>
            </w:pPr>
          </w:p>
        </w:tc>
      </w:tr>
      <w:tr w14:paraId="2B71FDA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A2BAE9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76889F2">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037AAE79">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线圈各零部件产品总装</w:t>
            </w:r>
          </w:p>
        </w:tc>
        <w:tc>
          <w:tcPr>
            <w:tcW w:w="624" w:type="pct"/>
            <w:vMerge w:val="continue"/>
            <w:tcBorders>
              <w:left w:val="single" w:color="auto" w:sz="4" w:space="0"/>
              <w:right w:val="single" w:color="auto" w:sz="4" w:space="0"/>
            </w:tcBorders>
          </w:tcPr>
          <w:p w14:paraId="300F11E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48F7344">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44778AD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0F50818">
            <w:pPr>
              <w:widowControl/>
              <w:jc w:val="center"/>
              <w:rPr>
                <w:rFonts w:ascii="宋体" w:hAnsi="宋体" w:cs="宋体"/>
                <w:color w:val="000000"/>
                <w:kern w:val="0"/>
                <w:sz w:val="22"/>
                <w:szCs w:val="22"/>
              </w:rPr>
            </w:pPr>
          </w:p>
        </w:tc>
      </w:tr>
      <w:tr w14:paraId="0E7E154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87C52BE">
            <w:pPr>
              <w:jc w:val="center"/>
              <w:rPr>
                <w:rFonts w:hint="default"/>
                <w:lang w:val="en-US" w:eastAsia="zh-CN"/>
              </w:rPr>
            </w:pPr>
          </w:p>
        </w:tc>
        <w:tc>
          <w:tcPr>
            <w:tcW w:w="1217" w:type="pct"/>
            <w:vMerge w:val="continue"/>
            <w:tcBorders>
              <w:top w:val="nil"/>
              <w:left w:val="nil"/>
              <w:bottom w:val="single" w:color="auto" w:sz="4" w:space="0"/>
              <w:right w:val="single" w:color="auto" w:sz="4" w:space="0"/>
            </w:tcBorders>
            <w:noWrap/>
            <w:vAlign w:val="center"/>
          </w:tcPr>
          <w:p w14:paraId="05F60AE1">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BFB289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产品水压检测-查漏</w:t>
            </w:r>
          </w:p>
        </w:tc>
        <w:tc>
          <w:tcPr>
            <w:tcW w:w="624" w:type="pct"/>
            <w:vMerge w:val="continue"/>
            <w:tcBorders>
              <w:left w:val="single" w:color="auto" w:sz="4" w:space="0"/>
              <w:right w:val="single" w:color="auto" w:sz="4" w:space="0"/>
            </w:tcBorders>
          </w:tcPr>
          <w:p w14:paraId="6F91822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6A9E5BD">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2D698B4">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7B771A3">
            <w:pPr>
              <w:widowControl/>
              <w:jc w:val="center"/>
              <w:rPr>
                <w:rFonts w:ascii="宋体" w:hAnsi="宋体" w:cs="宋体"/>
                <w:color w:val="000000"/>
                <w:kern w:val="0"/>
                <w:sz w:val="22"/>
                <w:szCs w:val="22"/>
              </w:rPr>
            </w:pPr>
          </w:p>
        </w:tc>
      </w:tr>
      <w:tr w14:paraId="2420137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2F7E09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FEE918">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2367333">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产品外观检查与清洁</w:t>
            </w:r>
          </w:p>
        </w:tc>
        <w:tc>
          <w:tcPr>
            <w:tcW w:w="624" w:type="pct"/>
            <w:vMerge w:val="continue"/>
            <w:tcBorders>
              <w:left w:val="single" w:color="auto" w:sz="4" w:space="0"/>
              <w:right w:val="single" w:color="auto" w:sz="4" w:space="0"/>
            </w:tcBorders>
          </w:tcPr>
          <w:p w14:paraId="47E0600F">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71782C44">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D26161F">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ABB1F5C">
            <w:pPr>
              <w:widowControl/>
              <w:jc w:val="center"/>
              <w:rPr>
                <w:rFonts w:ascii="宋体" w:hAnsi="宋体" w:cs="宋体"/>
                <w:color w:val="000000"/>
                <w:kern w:val="0"/>
                <w:sz w:val="22"/>
                <w:szCs w:val="22"/>
              </w:rPr>
            </w:pPr>
          </w:p>
        </w:tc>
      </w:tr>
      <w:tr w14:paraId="2F2D05C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9C38C59">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822B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6430985">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贴标签，合格证</w:t>
            </w:r>
          </w:p>
        </w:tc>
        <w:tc>
          <w:tcPr>
            <w:tcW w:w="624" w:type="pct"/>
            <w:vMerge w:val="continue"/>
            <w:tcBorders>
              <w:left w:val="single" w:color="auto" w:sz="4" w:space="0"/>
              <w:right w:val="single" w:color="auto" w:sz="4" w:space="0"/>
            </w:tcBorders>
          </w:tcPr>
          <w:p w14:paraId="599F5FA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F1C68B3">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5C642A1">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B4753A0">
            <w:pPr>
              <w:widowControl/>
              <w:jc w:val="center"/>
              <w:rPr>
                <w:rFonts w:ascii="宋体" w:hAnsi="宋体" w:cs="宋体"/>
                <w:color w:val="000000"/>
                <w:kern w:val="0"/>
                <w:sz w:val="22"/>
                <w:szCs w:val="22"/>
              </w:rPr>
            </w:pPr>
          </w:p>
        </w:tc>
      </w:tr>
      <w:tr w14:paraId="6060271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9514D6F">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6590D4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39F5566">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包装、运输及保险</w:t>
            </w:r>
          </w:p>
        </w:tc>
        <w:tc>
          <w:tcPr>
            <w:tcW w:w="624" w:type="pct"/>
            <w:vMerge w:val="continue"/>
            <w:tcBorders>
              <w:left w:val="single" w:color="auto" w:sz="4" w:space="0"/>
              <w:right w:val="single" w:color="auto" w:sz="4" w:space="0"/>
            </w:tcBorders>
          </w:tcPr>
          <w:p w14:paraId="0514306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90CE68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1012BE6">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208A63A">
            <w:pPr>
              <w:widowControl/>
              <w:jc w:val="center"/>
              <w:rPr>
                <w:rFonts w:ascii="宋体" w:hAnsi="宋体" w:cs="宋体"/>
                <w:color w:val="000000"/>
                <w:kern w:val="0"/>
                <w:sz w:val="22"/>
                <w:szCs w:val="22"/>
              </w:rPr>
            </w:pPr>
          </w:p>
        </w:tc>
      </w:tr>
      <w:tr w14:paraId="05C6B2A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08D88E4">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B2678A4">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7E0A8B8">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说明：标准维修是指线圈绝缘层损坏的维修，维修线圈必须更换的备件有：</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a) 进口尼龙粉和底漆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b) 耐火泥涂抹料</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c) 银焊条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d) 全套绝缘橡胶板（规格1/2′和3/8′）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e) 全套弱磁不锈钢卡箍（规格1/2′和3/8′）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f) 其他修理耗材：耐火合成云母带，热缩管，硅胶套，铝箔纸带，铜和不锈钢螺母标准件等</w:t>
            </w:r>
          </w:p>
        </w:tc>
        <w:tc>
          <w:tcPr>
            <w:tcW w:w="624" w:type="pct"/>
            <w:vMerge w:val="continue"/>
            <w:tcBorders>
              <w:left w:val="single" w:color="auto" w:sz="4" w:space="0"/>
              <w:bottom w:val="single" w:color="auto" w:sz="4" w:space="0"/>
              <w:right w:val="single" w:color="auto" w:sz="4" w:space="0"/>
            </w:tcBorders>
          </w:tcPr>
          <w:p w14:paraId="00437A9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bottom w:val="single" w:color="auto" w:sz="4" w:space="0"/>
              <w:right w:val="single" w:color="auto" w:sz="4" w:space="0"/>
            </w:tcBorders>
            <w:vAlign w:val="center"/>
          </w:tcPr>
          <w:p w14:paraId="279829F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bottom w:val="single" w:color="auto" w:sz="4" w:space="0"/>
              <w:right w:val="single" w:color="auto" w:sz="4" w:space="0"/>
            </w:tcBorders>
            <w:vAlign w:val="center"/>
          </w:tcPr>
          <w:p w14:paraId="2682AB4E">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bottom w:val="single" w:color="auto" w:sz="4" w:space="0"/>
              <w:right w:val="single" w:color="auto" w:sz="4" w:space="0"/>
            </w:tcBorders>
            <w:noWrap/>
            <w:vAlign w:val="center"/>
          </w:tcPr>
          <w:p w14:paraId="6B51E847">
            <w:pPr>
              <w:widowControl/>
              <w:jc w:val="center"/>
              <w:rPr>
                <w:rFonts w:hint="default" w:ascii="宋体" w:hAnsi="宋体" w:eastAsia="宋体" w:cs="宋体"/>
                <w:color w:val="000000"/>
                <w:kern w:val="0"/>
                <w:sz w:val="22"/>
                <w:szCs w:val="22"/>
                <w:lang w:val="en-US" w:eastAsia="zh-CN"/>
              </w:rPr>
            </w:pPr>
          </w:p>
        </w:tc>
      </w:tr>
      <w:tr w14:paraId="293E4C41">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33AC03E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2</w:t>
            </w:r>
          </w:p>
        </w:tc>
        <w:tc>
          <w:tcPr>
            <w:tcW w:w="1217" w:type="pct"/>
            <w:vMerge w:val="restart"/>
            <w:tcBorders>
              <w:top w:val="nil"/>
              <w:left w:val="nil"/>
              <w:bottom w:val="single" w:color="auto" w:sz="4" w:space="0"/>
              <w:right w:val="single" w:color="auto" w:sz="4" w:space="0"/>
            </w:tcBorders>
            <w:noWrap/>
            <w:vAlign w:val="center"/>
          </w:tcPr>
          <w:p w14:paraId="47C2FB89">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配件（选修）</w:t>
            </w:r>
          </w:p>
        </w:tc>
        <w:tc>
          <w:tcPr>
            <w:tcW w:w="1319" w:type="pct"/>
            <w:tcBorders>
              <w:top w:val="single" w:color="auto" w:sz="4" w:space="0"/>
              <w:left w:val="nil"/>
              <w:bottom w:val="single" w:color="auto" w:sz="4" w:space="0"/>
              <w:right w:val="single" w:color="auto" w:sz="4" w:space="0"/>
            </w:tcBorders>
            <w:vAlign w:val="center"/>
          </w:tcPr>
          <w:p w14:paraId="4E4BD39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修理线圈箱</w:t>
            </w:r>
          </w:p>
        </w:tc>
        <w:tc>
          <w:tcPr>
            <w:tcW w:w="624" w:type="pct"/>
            <w:tcBorders>
              <w:top w:val="single" w:color="auto" w:sz="4" w:space="0"/>
              <w:left w:val="single" w:color="auto" w:sz="4" w:space="0"/>
              <w:bottom w:val="single" w:color="auto" w:sz="4" w:space="0"/>
              <w:right w:val="single" w:color="auto" w:sz="4" w:space="0"/>
            </w:tcBorders>
            <w:vAlign w:val="center"/>
          </w:tcPr>
          <w:p w14:paraId="4A2886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3528.32</w:t>
            </w:r>
          </w:p>
        </w:tc>
        <w:tc>
          <w:tcPr>
            <w:tcW w:w="311" w:type="pct"/>
            <w:tcBorders>
              <w:top w:val="single" w:color="auto" w:sz="4" w:space="0"/>
              <w:left w:val="single" w:color="auto" w:sz="4" w:space="0"/>
              <w:bottom w:val="single" w:color="auto" w:sz="4" w:space="0"/>
              <w:right w:val="single" w:color="auto" w:sz="4" w:space="0"/>
            </w:tcBorders>
            <w:vAlign w:val="center"/>
          </w:tcPr>
          <w:p w14:paraId="56E182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114C1529">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757" w:type="pct"/>
            <w:tcBorders>
              <w:top w:val="single" w:color="auto" w:sz="4" w:space="0"/>
              <w:left w:val="single" w:color="auto" w:sz="4" w:space="0"/>
              <w:bottom w:val="single" w:color="auto" w:sz="4" w:space="0"/>
              <w:right w:val="single" w:color="auto" w:sz="4" w:space="0"/>
            </w:tcBorders>
            <w:noWrap/>
            <w:vAlign w:val="center"/>
          </w:tcPr>
          <w:p w14:paraId="49D4D6FD">
            <w:pPr>
              <w:widowControl/>
              <w:jc w:val="center"/>
              <w:rPr>
                <w:rFonts w:ascii="宋体" w:hAnsi="宋体" w:cs="宋体"/>
                <w:color w:val="000000"/>
                <w:kern w:val="0"/>
                <w:sz w:val="22"/>
                <w:szCs w:val="22"/>
              </w:rPr>
            </w:pPr>
          </w:p>
        </w:tc>
      </w:tr>
      <w:tr w14:paraId="1D741F0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48A8C8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E325893">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B20B060">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出入口端部水冷铜板</w:t>
            </w:r>
          </w:p>
        </w:tc>
        <w:tc>
          <w:tcPr>
            <w:tcW w:w="624" w:type="pct"/>
            <w:tcBorders>
              <w:top w:val="single" w:color="auto" w:sz="4" w:space="0"/>
              <w:left w:val="single" w:color="auto" w:sz="4" w:space="0"/>
              <w:bottom w:val="single" w:color="auto" w:sz="4" w:space="0"/>
              <w:right w:val="single" w:color="auto" w:sz="4" w:space="0"/>
            </w:tcBorders>
            <w:vAlign w:val="center"/>
          </w:tcPr>
          <w:p w14:paraId="154871FD">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1282.3</w:t>
            </w:r>
          </w:p>
        </w:tc>
        <w:tc>
          <w:tcPr>
            <w:tcW w:w="311" w:type="pct"/>
            <w:tcBorders>
              <w:top w:val="single" w:color="auto" w:sz="4" w:space="0"/>
              <w:left w:val="single" w:color="auto" w:sz="4" w:space="0"/>
              <w:bottom w:val="single" w:color="auto" w:sz="4" w:space="0"/>
              <w:right w:val="single" w:color="auto" w:sz="4" w:space="0"/>
            </w:tcBorders>
            <w:vAlign w:val="center"/>
          </w:tcPr>
          <w:p w14:paraId="617850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563B2D0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2FFDEEAD">
            <w:pPr>
              <w:widowControl/>
              <w:jc w:val="center"/>
              <w:rPr>
                <w:rFonts w:ascii="宋体" w:hAnsi="宋体" w:cs="宋体"/>
                <w:color w:val="000000"/>
                <w:kern w:val="0"/>
                <w:sz w:val="22"/>
                <w:szCs w:val="22"/>
              </w:rPr>
            </w:pPr>
          </w:p>
        </w:tc>
      </w:tr>
      <w:tr w14:paraId="597BBCB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ABB2C87">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9D2841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AFE0A11">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合金耐磨层水冷导轨</w:t>
            </w:r>
          </w:p>
        </w:tc>
        <w:tc>
          <w:tcPr>
            <w:tcW w:w="624" w:type="pct"/>
            <w:tcBorders>
              <w:top w:val="single" w:color="auto" w:sz="4" w:space="0"/>
              <w:left w:val="single" w:color="auto" w:sz="4" w:space="0"/>
              <w:bottom w:val="single" w:color="auto" w:sz="4" w:space="0"/>
              <w:right w:val="single" w:color="auto" w:sz="4" w:space="0"/>
            </w:tcBorders>
            <w:vAlign w:val="center"/>
          </w:tcPr>
          <w:p w14:paraId="1D2752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2136.28</w:t>
            </w:r>
          </w:p>
        </w:tc>
        <w:tc>
          <w:tcPr>
            <w:tcW w:w="311" w:type="pct"/>
            <w:tcBorders>
              <w:top w:val="single" w:color="auto" w:sz="4" w:space="0"/>
              <w:left w:val="single" w:color="auto" w:sz="4" w:space="0"/>
              <w:bottom w:val="single" w:color="auto" w:sz="4" w:space="0"/>
              <w:right w:val="single" w:color="auto" w:sz="4" w:space="0"/>
            </w:tcBorders>
            <w:vAlign w:val="center"/>
          </w:tcPr>
          <w:p w14:paraId="6445DDF4">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7A7797E3">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D60DC54">
            <w:pPr>
              <w:widowControl/>
              <w:jc w:val="center"/>
              <w:rPr>
                <w:rFonts w:ascii="宋体" w:hAnsi="宋体" w:cs="宋体"/>
                <w:color w:val="000000"/>
                <w:kern w:val="0"/>
                <w:sz w:val="22"/>
                <w:szCs w:val="22"/>
              </w:rPr>
            </w:pPr>
          </w:p>
        </w:tc>
      </w:tr>
      <w:tr w14:paraId="70E5625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7A4F7C7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8F2C06D">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A41F46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绝缘隔热线圈箱</w:t>
            </w:r>
          </w:p>
        </w:tc>
        <w:tc>
          <w:tcPr>
            <w:tcW w:w="624" w:type="pct"/>
            <w:tcBorders>
              <w:top w:val="single" w:color="auto" w:sz="4" w:space="0"/>
              <w:left w:val="single" w:color="auto" w:sz="4" w:space="0"/>
              <w:bottom w:val="single" w:color="auto" w:sz="4" w:space="0"/>
              <w:right w:val="single" w:color="auto" w:sz="4" w:space="0"/>
            </w:tcBorders>
            <w:vAlign w:val="center"/>
          </w:tcPr>
          <w:p w14:paraId="0D031BF3">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5000</w:t>
            </w:r>
          </w:p>
        </w:tc>
        <w:tc>
          <w:tcPr>
            <w:tcW w:w="311" w:type="pct"/>
            <w:tcBorders>
              <w:top w:val="single" w:color="auto" w:sz="4" w:space="0"/>
              <w:left w:val="single" w:color="auto" w:sz="4" w:space="0"/>
              <w:bottom w:val="single" w:color="auto" w:sz="4" w:space="0"/>
              <w:right w:val="single" w:color="auto" w:sz="4" w:space="0"/>
            </w:tcBorders>
            <w:vAlign w:val="center"/>
          </w:tcPr>
          <w:p w14:paraId="15121C8B">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6CB255A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AD35454">
            <w:pPr>
              <w:widowControl/>
              <w:jc w:val="center"/>
              <w:rPr>
                <w:rFonts w:ascii="宋体" w:hAnsi="宋体" w:cs="宋体"/>
                <w:color w:val="000000"/>
                <w:kern w:val="0"/>
                <w:sz w:val="22"/>
                <w:szCs w:val="22"/>
              </w:rPr>
            </w:pPr>
          </w:p>
        </w:tc>
      </w:tr>
      <w:tr w14:paraId="0F70E24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06A4D6D">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E5EA46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1EECA4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无氧铜线圈绕组</w:t>
            </w:r>
          </w:p>
        </w:tc>
        <w:tc>
          <w:tcPr>
            <w:tcW w:w="624" w:type="pct"/>
            <w:tcBorders>
              <w:top w:val="single" w:color="auto" w:sz="4" w:space="0"/>
              <w:left w:val="single" w:color="auto" w:sz="4" w:space="0"/>
              <w:bottom w:val="single" w:color="auto" w:sz="4" w:space="0"/>
              <w:right w:val="single" w:color="auto" w:sz="4" w:space="0"/>
            </w:tcBorders>
            <w:vAlign w:val="center"/>
          </w:tcPr>
          <w:p w14:paraId="4ACD4A8A">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4577.66</w:t>
            </w:r>
          </w:p>
        </w:tc>
        <w:tc>
          <w:tcPr>
            <w:tcW w:w="311" w:type="pct"/>
            <w:tcBorders>
              <w:top w:val="single" w:color="auto" w:sz="4" w:space="0"/>
              <w:left w:val="single" w:color="auto" w:sz="4" w:space="0"/>
              <w:bottom w:val="single" w:color="auto" w:sz="4" w:space="0"/>
              <w:right w:val="single" w:color="auto" w:sz="4" w:space="0"/>
            </w:tcBorders>
            <w:vAlign w:val="center"/>
          </w:tcPr>
          <w:p w14:paraId="42E62E3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04B145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3CDAC3D5">
            <w:pPr>
              <w:widowControl/>
              <w:jc w:val="center"/>
              <w:rPr>
                <w:rFonts w:ascii="宋体" w:hAnsi="宋体" w:cs="宋体"/>
                <w:color w:val="000000"/>
                <w:kern w:val="0"/>
                <w:sz w:val="22"/>
                <w:szCs w:val="22"/>
              </w:rPr>
            </w:pPr>
          </w:p>
        </w:tc>
      </w:tr>
      <w:tr w14:paraId="708572B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32A7D03">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38D5265">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745B62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线圈水分配器</w:t>
            </w:r>
          </w:p>
        </w:tc>
        <w:tc>
          <w:tcPr>
            <w:tcW w:w="624" w:type="pct"/>
            <w:tcBorders>
              <w:top w:val="single" w:color="auto" w:sz="4" w:space="0"/>
              <w:left w:val="single" w:color="auto" w:sz="4" w:space="0"/>
              <w:bottom w:val="single" w:color="auto" w:sz="4" w:space="0"/>
              <w:right w:val="single" w:color="auto" w:sz="4" w:space="0"/>
            </w:tcBorders>
            <w:vAlign w:val="center"/>
          </w:tcPr>
          <w:p w14:paraId="347439D1">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1709.73</w:t>
            </w:r>
          </w:p>
        </w:tc>
        <w:tc>
          <w:tcPr>
            <w:tcW w:w="311" w:type="pct"/>
            <w:tcBorders>
              <w:top w:val="single" w:color="auto" w:sz="4" w:space="0"/>
              <w:left w:val="single" w:color="auto" w:sz="4" w:space="0"/>
              <w:bottom w:val="single" w:color="auto" w:sz="4" w:space="0"/>
              <w:right w:val="single" w:color="auto" w:sz="4" w:space="0"/>
            </w:tcBorders>
            <w:vAlign w:val="center"/>
          </w:tcPr>
          <w:p w14:paraId="3288DBC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A92F59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5E7622F7">
            <w:pPr>
              <w:widowControl/>
              <w:jc w:val="center"/>
              <w:rPr>
                <w:rFonts w:ascii="宋体" w:hAnsi="宋体" w:cs="宋体"/>
                <w:color w:val="000000"/>
                <w:kern w:val="0"/>
                <w:sz w:val="22"/>
                <w:szCs w:val="22"/>
              </w:rPr>
            </w:pPr>
          </w:p>
        </w:tc>
      </w:tr>
      <w:tr w14:paraId="310A08D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B19E68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8C27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BAE206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卡套接头，型号R-1900022SS</w:t>
            </w:r>
          </w:p>
        </w:tc>
        <w:tc>
          <w:tcPr>
            <w:tcW w:w="624" w:type="pct"/>
            <w:tcBorders>
              <w:top w:val="single" w:color="auto" w:sz="4" w:space="0"/>
              <w:left w:val="single" w:color="auto" w:sz="4" w:space="0"/>
              <w:bottom w:val="single" w:color="auto" w:sz="4" w:space="0"/>
              <w:right w:val="single" w:color="auto" w:sz="4" w:space="0"/>
            </w:tcBorders>
            <w:vAlign w:val="center"/>
          </w:tcPr>
          <w:p w14:paraId="1CFD1A15">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16.5</w:t>
            </w:r>
          </w:p>
        </w:tc>
        <w:tc>
          <w:tcPr>
            <w:tcW w:w="311" w:type="pct"/>
            <w:tcBorders>
              <w:top w:val="single" w:color="auto" w:sz="4" w:space="0"/>
              <w:left w:val="single" w:color="auto" w:sz="4" w:space="0"/>
              <w:bottom w:val="single" w:color="auto" w:sz="4" w:space="0"/>
              <w:right w:val="single" w:color="auto" w:sz="4" w:space="0"/>
            </w:tcBorders>
            <w:vAlign w:val="center"/>
          </w:tcPr>
          <w:p w14:paraId="0A3D787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个</w:t>
            </w:r>
          </w:p>
        </w:tc>
        <w:tc>
          <w:tcPr>
            <w:tcW w:w="401" w:type="pct"/>
            <w:tcBorders>
              <w:top w:val="single" w:color="auto" w:sz="4" w:space="0"/>
              <w:left w:val="single" w:color="auto" w:sz="4" w:space="0"/>
              <w:bottom w:val="single" w:color="auto" w:sz="4" w:space="0"/>
              <w:right w:val="single" w:color="auto" w:sz="4" w:space="0"/>
            </w:tcBorders>
            <w:vAlign w:val="center"/>
          </w:tcPr>
          <w:p w14:paraId="0D5ABFB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120</w:t>
            </w:r>
          </w:p>
        </w:tc>
        <w:tc>
          <w:tcPr>
            <w:tcW w:w="757" w:type="pct"/>
            <w:tcBorders>
              <w:top w:val="single" w:color="auto" w:sz="4" w:space="0"/>
              <w:left w:val="single" w:color="auto" w:sz="4" w:space="0"/>
              <w:bottom w:val="single" w:color="auto" w:sz="4" w:space="0"/>
              <w:right w:val="single" w:color="auto" w:sz="4" w:space="0"/>
            </w:tcBorders>
            <w:noWrap/>
            <w:vAlign w:val="center"/>
          </w:tcPr>
          <w:p w14:paraId="719349D3">
            <w:pPr>
              <w:widowControl/>
              <w:jc w:val="center"/>
              <w:rPr>
                <w:rFonts w:ascii="宋体" w:hAnsi="宋体" w:cs="宋体"/>
                <w:color w:val="000000"/>
                <w:kern w:val="0"/>
                <w:sz w:val="22"/>
                <w:szCs w:val="22"/>
              </w:rPr>
            </w:pPr>
          </w:p>
        </w:tc>
      </w:tr>
      <w:tr w14:paraId="2FFA93B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CB7933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4CF1CD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11F147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水冷导轨，型号：φ8不带涂层</w:t>
            </w:r>
          </w:p>
        </w:tc>
        <w:tc>
          <w:tcPr>
            <w:tcW w:w="624" w:type="pct"/>
            <w:tcBorders>
              <w:top w:val="single" w:color="auto" w:sz="4" w:space="0"/>
              <w:left w:val="single" w:color="auto" w:sz="4" w:space="0"/>
              <w:bottom w:val="single" w:color="auto" w:sz="4" w:space="0"/>
              <w:right w:val="single" w:color="auto" w:sz="4" w:space="0"/>
            </w:tcBorders>
            <w:vAlign w:val="center"/>
          </w:tcPr>
          <w:p w14:paraId="4E02432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390.74</w:t>
            </w:r>
          </w:p>
        </w:tc>
        <w:tc>
          <w:tcPr>
            <w:tcW w:w="311" w:type="pct"/>
            <w:tcBorders>
              <w:top w:val="single" w:color="auto" w:sz="4" w:space="0"/>
              <w:left w:val="single" w:color="auto" w:sz="4" w:space="0"/>
              <w:bottom w:val="single" w:color="auto" w:sz="4" w:space="0"/>
              <w:right w:val="single" w:color="auto" w:sz="4" w:space="0"/>
            </w:tcBorders>
            <w:vAlign w:val="center"/>
          </w:tcPr>
          <w:p w14:paraId="2CE66FAA">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根</w:t>
            </w:r>
          </w:p>
        </w:tc>
        <w:tc>
          <w:tcPr>
            <w:tcW w:w="401" w:type="pct"/>
            <w:tcBorders>
              <w:top w:val="single" w:color="auto" w:sz="4" w:space="0"/>
              <w:left w:val="single" w:color="auto" w:sz="4" w:space="0"/>
              <w:bottom w:val="single" w:color="auto" w:sz="4" w:space="0"/>
              <w:right w:val="single" w:color="auto" w:sz="4" w:space="0"/>
            </w:tcBorders>
            <w:vAlign w:val="center"/>
          </w:tcPr>
          <w:p w14:paraId="49B513E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40</w:t>
            </w:r>
          </w:p>
        </w:tc>
        <w:tc>
          <w:tcPr>
            <w:tcW w:w="757" w:type="pct"/>
            <w:tcBorders>
              <w:top w:val="single" w:color="auto" w:sz="4" w:space="0"/>
              <w:left w:val="single" w:color="auto" w:sz="4" w:space="0"/>
              <w:bottom w:val="single" w:color="auto" w:sz="4" w:space="0"/>
              <w:right w:val="single" w:color="auto" w:sz="4" w:space="0"/>
            </w:tcBorders>
            <w:noWrap/>
            <w:vAlign w:val="center"/>
          </w:tcPr>
          <w:p w14:paraId="4EA7EFD0">
            <w:pPr>
              <w:widowControl/>
              <w:jc w:val="center"/>
              <w:rPr>
                <w:rFonts w:ascii="宋体" w:hAnsi="宋体" w:cs="宋体"/>
                <w:color w:val="000000"/>
                <w:kern w:val="0"/>
                <w:sz w:val="22"/>
                <w:szCs w:val="22"/>
              </w:rPr>
            </w:pPr>
          </w:p>
        </w:tc>
      </w:tr>
      <w:tr w14:paraId="4B2EBC0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22394DAC">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57A0304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319" w:type="pct"/>
            <w:tcBorders>
              <w:top w:val="single" w:color="auto" w:sz="4" w:space="0"/>
              <w:left w:val="nil"/>
              <w:bottom w:val="single" w:color="auto" w:sz="4" w:space="0"/>
              <w:right w:val="single" w:color="auto" w:sz="4" w:space="0"/>
            </w:tcBorders>
            <w:vAlign w:val="center"/>
          </w:tcPr>
          <w:p w14:paraId="30772CA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592761FB">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22832582">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9CCA527">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5F9B49C5">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021BF8B0">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6B7CC525">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351379C6">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319" w:type="pct"/>
            <w:tcBorders>
              <w:top w:val="single" w:color="auto" w:sz="4" w:space="0"/>
              <w:left w:val="nil"/>
              <w:bottom w:val="single" w:color="auto" w:sz="4" w:space="0"/>
              <w:right w:val="single" w:color="auto" w:sz="4" w:space="0"/>
            </w:tcBorders>
            <w:vAlign w:val="center"/>
          </w:tcPr>
          <w:p w14:paraId="782B92A7">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624" w:type="pct"/>
            <w:tcBorders>
              <w:top w:val="single" w:color="auto" w:sz="4" w:space="0"/>
              <w:left w:val="single" w:color="auto" w:sz="4" w:space="0"/>
              <w:bottom w:val="single" w:color="auto" w:sz="4" w:space="0"/>
              <w:right w:val="single" w:color="auto" w:sz="4" w:space="0"/>
            </w:tcBorders>
          </w:tcPr>
          <w:p w14:paraId="2D274B11">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53BA0C50">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BA6EA40">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611499C0">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2D2C00B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77FAB909">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2B21979A">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19" w:type="pct"/>
            <w:tcBorders>
              <w:top w:val="single" w:color="auto" w:sz="4" w:space="0"/>
              <w:left w:val="nil"/>
              <w:bottom w:val="single" w:color="auto" w:sz="4" w:space="0"/>
              <w:right w:val="single" w:color="auto" w:sz="4" w:space="0"/>
            </w:tcBorders>
            <w:vAlign w:val="center"/>
          </w:tcPr>
          <w:p w14:paraId="2C341E9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6C850585">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639891DE">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2F26DF0A">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152EC0E5">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1B9E7647">
      <w:pPr>
        <w:pStyle w:val="229"/>
        <w:ind w:firstLine="3960" w:firstLineChars="1800"/>
        <w:rPr>
          <w:rFonts w:hint="eastAsia" w:cs="宋体"/>
          <w:sz w:val="22"/>
          <w:szCs w:val="22"/>
        </w:rPr>
      </w:pPr>
    </w:p>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5633311"/>
    <w:multiLevelType w:val="multilevel"/>
    <w:tmpl w:val="7563331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7"/>
  </w:num>
  <w:num w:numId="9">
    <w:abstractNumId w:val="11"/>
  </w:num>
  <w:num w:numId="10">
    <w:abstractNumId w:val="9"/>
  </w:num>
  <w:num w:numId="11">
    <w:abstractNumId w:val="16"/>
  </w:num>
  <w:num w:numId="12">
    <w:abstractNumId w:val="15"/>
  </w:num>
  <w:num w:numId="13">
    <w:abstractNumId w:val="10"/>
  </w:num>
  <w:num w:numId="14">
    <w:abstractNumId w:val="8"/>
  </w:num>
  <w:num w:numId="15">
    <w:abstractNumId w:val="6"/>
  </w:num>
  <w:num w:numId="16">
    <w:abstractNumId w:val="5"/>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41188A"/>
    <w:rsid w:val="09756E61"/>
    <w:rsid w:val="097F23D3"/>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A91AA8"/>
    <w:rsid w:val="10BF3855"/>
    <w:rsid w:val="10F17A8A"/>
    <w:rsid w:val="10FE7942"/>
    <w:rsid w:val="114C5ED8"/>
    <w:rsid w:val="11920B94"/>
    <w:rsid w:val="12656B36"/>
    <w:rsid w:val="1378147A"/>
    <w:rsid w:val="13D35827"/>
    <w:rsid w:val="13E524FE"/>
    <w:rsid w:val="147D56F6"/>
    <w:rsid w:val="148B578A"/>
    <w:rsid w:val="14DA122C"/>
    <w:rsid w:val="150430EB"/>
    <w:rsid w:val="156F6E5A"/>
    <w:rsid w:val="15755686"/>
    <w:rsid w:val="168B7CC4"/>
    <w:rsid w:val="170C5908"/>
    <w:rsid w:val="174E7C11"/>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476F69"/>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AA740D"/>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C9686C"/>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27C62"/>
    <w:rsid w:val="4F4A4FC8"/>
    <w:rsid w:val="4FBE172A"/>
    <w:rsid w:val="4FD97D99"/>
    <w:rsid w:val="50C02B5E"/>
    <w:rsid w:val="50D74B46"/>
    <w:rsid w:val="510C1FBC"/>
    <w:rsid w:val="51654692"/>
    <w:rsid w:val="52585C54"/>
    <w:rsid w:val="52FD37BC"/>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151DE0"/>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BDB666D"/>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43</Pages>
  <Words>9321</Words>
  <Characters>9687</Characters>
  <Lines>52</Lines>
  <Paragraphs>14</Paragraphs>
  <TotalTime>5</TotalTime>
  <ScaleCrop>false</ScaleCrop>
  <LinksUpToDate>false</LinksUpToDate>
  <CharactersWithSpaces>9751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2026-08-14T02:49:32Z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